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782" w:rsidRDefault="00584782">
      <w:pPr>
        <w:spacing w:line="440" w:lineRule="exact"/>
        <w:jc w:val="left"/>
        <w:rPr>
          <w:rFonts w:ascii="ＭＳ Ｐゴシック" w:eastAsia="ＭＳ Ｐゴシック" w:hAnsi="ＭＳ Ｐゴシック"/>
          <w:sz w:val="36"/>
        </w:rPr>
      </w:pPr>
      <w:bookmarkStart w:id="0" w:name="_GoBack"/>
      <w:bookmarkEnd w:id="0"/>
    </w:p>
    <w:p w:rsidR="00584782" w:rsidRDefault="00584782">
      <w:pPr>
        <w:spacing w:line="440" w:lineRule="exact"/>
        <w:jc w:val="left"/>
        <w:rPr>
          <w:rFonts w:ascii="ＭＳ Ｐゴシック" w:eastAsia="ＭＳ Ｐゴシック" w:hAnsi="ＭＳ Ｐゴシック"/>
          <w:sz w:val="36"/>
        </w:rPr>
      </w:pPr>
    </w:p>
    <w:p w:rsidR="00584782" w:rsidRDefault="003A4011">
      <w:pPr>
        <w:spacing w:line="720" w:lineRule="exact"/>
        <w:jc w:val="center"/>
        <w:rPr>
          <w:rFonts w:ascii="ＭＳ Ｐゴシック" w:eastAsia="ＭＳ Ｐゴシック" w:hAnsi="ＭＳ Ｐゴシック"/>
          <w:sz w:val="52"/>
        </w:rPr>
      </w:pPr>
      <w:r>
        <w:rPr>
          <w:rFonts w:ascii="ＭＳ Ｐゴシック" w:eastAsia="ＭＳ Ｐゴシック" w:hAnsi="ＭＳ Ｐゴシック" w:hint="eastAsia"/>
          <w:sz w:val="52"/>
        </w:rPr>
        <w:t>本部町</w:t>
      </w:r>
      <w:r>
        <w:rPr>
          <w:rFonts w:ascii="ＭＳ Ｐゴシック" w:eastAsia="ＭＳ Ｐゴシック" w:hAnsi="ＭＳ Ｐゴシック" w:hint="eastAsia"/>
          <w:sz w:val="52"/>
        </w:rPr>
        <w:t>国民健康保険</w:t>
      </w:r>
    </w:p>
    <w:p w:rsidR="00584782" w:rsidRDefault="003A4011">
      <w:pPr>
        <w:spacing w:line="720" w:lineRule="exact"/>
        <w:jc w:val="center"/>
        <w:rPr>
          <w:rFonts w:ascii="ＭＳ Ｐゴシック" w:eastAsia="ＭＳ Ｐゴシック" w:hAnsi="ＭＳ Ｐゴシック"/>
          <w:sz w:val="52"/>
        </w:rPr>
      </w:pPr>
      <w:r>
        <w:rPr>
          <w:rFonts w:ascii="ＭＳ Ｐゴシック" w:eastAsia="ＭＳ Ｐゴシック" w:hAnsi="ＭＳ Ｐゴシック" w:hint="eastAsia"/>
          <w:sz w:val="52"/>
        </w:rPr>
        <w:t>第</w:t>
      </w:r>
      <w:r>
        <w:rPr>
          <w:rFonts w:ascii="ＭＳ Ｐゴシック" w:eastAsia="ＭＳ Ｐゴシック" w:hAnsi="ＭＳ Ｐゴシック" w:hint="eastAsia"/>
          <w:sz w:val="52"/>
        </w:rPr>
        <w:t>3</w:t>
      </w:r>
      <w:r>
        <w:rPr>
          <w:rFonts w:ascii="ＭＳ Ｐゴシック" w:eastAsia="ＭＳ Ｐゴシック" w:hAnsi="ＭＳ Ｐゴシック" w:hint="eastAsia"/>
          <w:sz w:val="52"/>
        </w:rPr>
        <w:t>期保健事業実施計画</w:t>
      </w:r>
    </w:p>
    <w:p w:rsidR="00584782" w:rsidRDefault="003A4011">
      <w:pPr>
        <w:spacing w:line="720" w:lineRule="exact"/>
        <w:jc w:val="center"/>
        <w:rPr>
          <w:rFonts w:ascii="ＭＳ Ｐゴシック" w:eastAsia="ＭＳ Ｐゴシック" w:hAnsi="ＭＳ Ｐゴシック"/>
          <w:sz w:val="40"/>
        </w:rPr>
      </w:pPr>
      <w:r>
        <w:rPr>
          <w:rFonts w:ascii="ＭＳ Ｐゴシック" w:eastAsia="ＭＳ Ｐゴシック" w:hAnsi="ＭＳ Ｐゴシック" w:hint="eastAsia"/>
          <w:sz w:val="40"/>
        </w:rPr>
        <w:t>（データヘルス計画）</w:t>
      </w:r>
    </w:p>
    <w:p w:rsidR="00584782" w:rsidRDefault="00584782">
      <w:pPr>
        <w:spacing w:line="580" w:lineRule="exact"/>
        <w:jc w:val="center"/>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3A4011">
      <w:pPr>
        <w:spacing w:line="440" w:lineRule="exact"/>
        <w:jc w:val="center"/>
        <w:rPr>
          <w:rFonts w:ascii="ＭＳ Ｐゴシック" w:eastAsia="ＭＳ Ｐゴシック" w:hAnsi="ＭＳ Ｐゴシック"/>
          <w:sz w:val="36"/>
        </w:rPr>
      </w:pPr>
      <w:r>
        <w:rPr>
          <w:rFonts w:ascii="ＭＳ Ｐゴシック" w:eastAsia="ＭＳ Ｐゴシック" w:hAnsi="ＭＳ Ｐゴシック" w:hint="eastAsia"/>
          <w:sz w:val="36"/>
        </w:rPr>
        <w:t>（第</w:t>
      </w:r>
      <w:r>
        <w:rPr>
          <w:rFonts w:ascii="ＭＳ Ｐゴシック" w:eastAsia="ＭＳ Ｐゴシック" w:hAnsi="ＭＳ Ｐゴシック" w:hint="eastAsia"/>
          <w:sz w:val="36"/>
        </w:rPr>
        <w:t>4</w:t>
      </w:r>
      <w:r>
        <w:rPr>
          <w:rFonts w:ascii="ＭＳ Ｐゴシック" w:eastAsia="ＭＳ Ｐゴシック" w:hAnsi="ＭＳ Ｐゴシック" w:hint="eastAsia"/>
          <w:sz w:val="36"/>
        </w:rPr>
        <w:t>期特定健康診査等実施計画）</w:t>
      </w:r>
    </w:p>
    <w:p w:rsidR="00584782" w:rsidRDefault="003A4011">
      <w:pPr>
        <w:spacing w:line="440" w:lineRule="exact"/>
        <w:jc w:val="center"/>
        <w:rPr>
          <w:rFonts w:ascii="ＭＳ Ｐゴシック" w:eastAsia="ＭＳ Ｐゴシック" w:hAnsi="ＭＳ Ｐゴシック"/>
          <w:sz w:val="36"/>
        </w:rPr>
      </w:pPr>
      <w:r>
        <w:rPr>
          <w:rFonts w:ascii="ＭＳ Ｐゴシック" w:eastAsia="ＭＳ Ｐゴシック" w:hAnsi="ＭＳ Ｐゴシック" w:hint="eastAsia"/>
          <w:sz w:val="36"/>
        </w:rPr>
        <w:t>令和</w:t>
      </w:r>
      <w:r>
        <w:rPr>
          <w:rFonts w:ascii="ＭＳ Ｐゴシック" w:eastAsia="ＭＳ Ｐゴシック" w:hAnsi="ＭＳ Ｐゴシック" w:hint="eastAsia"/>
          <w:sz w:val="36"/>
        </w:rPr>
        <w:t>6</w:t>
      </w:r>
      <w:r>
        <w:rPr>
          <w:rFonts w:ascii="ＭＳ Ｐゴシック" w:eastAsia="ＭＳ Ｐゴシック" w:hAnsi="ＭＳ Ｐゴシック" w:hint="eastAsia"/>
          <w:sz w:val="36"/>
        </w:rPr>
        <w:t>年度～令和</w:t>
      </w:r>
      <w:r>
        <w:rPr>
          <w:rFonts w:ascii="ＭＳ Ｐゴシック" w:eastAsia="ＭＳ Ｐゴシック" w:hAnsi="ＭＳ Ｐゴシック" w:hint="eastAsia"/>
          <w:sz w:val="36"/>
        </w:rPr>
        <w:t>11</w:t>
      </w:r>
      <w:r>
        <w:rPr>
          <w:rFonts w:ascii="ＭＳ Ｐゴシック" w:eastAsia="ＭＳ Ｐゴシック" w:hAnsi="ＭＳ Ｐゴシック" w:hint="eastAsia"/>
          <w:sz w:val="36"/>
        </w:rPr>
        <w:t>年度</w:t>
      </w: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3A4011">
      <w:pPr>
        <w:spacing w:line="440" w:lineRule="exact"/>
        <w:jc w:val="center"/>
        <w:rPr>
          <w:rFonts w:ascii="ＭＳ Ｐゴシック" w:eastAsia="ＭＳ Ｐゴシック" w:hAnsi="ＭＳ Ｐゴシック"/>
          <w:color w:val="0070C0"/>
          <w:sz w:val="36"/>
        </w:rPr>
      </w:pPr>
      <w:r>
        <w:rPr>
          <w:rFonts w:ascii="ＭＳ Ｐゴシック" w:eastAsia="ＭＳ Ｐゴシック" w:hAnsi="ＭＳ Ｐゴシック" w:hint="eastAsia"/>
          <w:sz w:val="36"/>
        </w:rPr>
        <w:t>本部町</w:t>
      </w:r>
      <w:r>
        <w:rPr>
          <w:rFonts w:ascii="ＭＳ Ｐゴシック" w:eastAsia="ＭＳ Ｐゴシック" w:hAnsi="ＭＳ Ｐゴシック" w:hint="eastAsia"/>
          <w:sz w:val="36"/>
        </w:rPr>
        <w:t>国民健康保険</w:t>
      </w: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3A4011">
      <w:pPr>
        <w:jc w:val="center"/>
        <w:rPr>
          <w:rFonts w:ascii="ＭＳ Ｐゴシック" w:eastAsia="ＭＳ Ｐゴシック" w:hAnsi="ＭＳ Ｐゴシック"/>
          <w:sz w:val="36"/>
        </w:rPr>
      </w:pPr>
      <w:r>
        <w:rPr>
          <w:rFonts w:ascii="ＭＳ Ｐゴシック" w:eastAsia="ＭＳ Ｐゴシック" w:hAnsi="ＭＳ Ｐゴシック" w:hint="eastAsia"/>
          <w:sz w:val="36"/>
        </w:rPr>
        <w:lastRenderedPageBreak/>
        <w:t>保健事業実施計画（データヘルス計画）目次</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8"/>
        </w:rPr>
        <w:t>第</w:t>
      </w:r>
      <w:r>
        <w:rPr>
          <w:rFonts w:ascii="ＭＳ Ｐゴシック" w:eastAsia="ＭＳ Ｐゴシック" w:hAnsi="ＭＳ Ｐゴシック" w:hint="eastAsia"/>
          <w:sz w:val="28"/>
        </w:rPr>
        <w:t>1</w:t>
      </w:r>
      <w:r>
        <w:rPr>
          <w:rFonts w:ascii="ＭＳ Ｐゴシック" w:eastAsia="ＭＳ Ｐゴシック" w:hAnsi="ＭＳ Ｐゴシック" w:hint="eastAsia"/>
          <w:sz w:val="28"/>
        </w:rPr>
        <w:t>章　保健事業実施計画</w:t>
      </w:r>
      <w:r>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データヘルス計画</w:t>
      </w:r>
      <w:r>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の基本的な考え方　・・・・・・・・</w:t>
      </w:r>
      <w:r>
        <w:rPr>
          <w:rFonts w:ascii="ＭＳ Ｐゴシック" w:eastAsia="ＭＳ Ｐゴシック" w:hAnsi="ＭＳ Ｐゴシック" w:hint="eastAsia"/>
          <w:sz w:val="28"/>
        </w:rPr>
        <w:t>1</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１．背景・目的</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２．計画の位置付けと基本的な考え方</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３．計画期間</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４．関係者が果たすべき役割と連携</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１）市町村国保の役割</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２）関係機関との連携</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３）被保険者の役割</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５．保険者努力支援制度</w:t>
      </w:r>
    </w:p>
    <w:p w:rsidR="00584782" w:rsidRDefault="00584782">
      <w:pPr>
        <w:spacing w:line="320" w:lineRule="exact"/>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8"/>
        </w:rPr>
        <w:t>第</w:t>
      </w:r>
      <w:r>
        <w:rPr>
          <w:rFonts w:ascii="ＭＳ Ｐゴシック" w:eastAsia="ＭＳ Ｐゴシック" w:hAnsi="ＭＳ Ｐゴシック" w:hint="eastAsia"/>
          <w:sz w:val="28"/>
        </w:rPr>
        <w:t>2</w:t>
      </w:r>
      <w:r>
        <w:rPr>
          <w:rFonts w:ascii="ＭＳ Ｐゴシック" w:eastAsia="ＭＳ Ｐゴシック" w:hAnsi="ＭＳ Ｐゴシック" w:hint="eastAsia"/>
          <w:sz w:val="28"/>
        </w:rPr>
        <w:t xml:space="preserve">章　</w:t>
      </w:r>
      <w:r>
        <w:rPr>
          <w:rFonts w:ascii="ＭＳ Ｐゴシック" w:eastAsia="ＭＳ Ｐゴシック" w:hAnsi="ＭＳ Ｐゴシック" w:hint="eastAsia"/>
          <w:sz w:val="26"/>
        </w:rPr>
        <w:t>第</w:t>
      </w:r>
      <w:r>
        <w:rPr>
          <w:rFonts w:ascii="ＭＳ Ｐゴシック" w:eastAsia="ＭＳ Ｐゴシック" w:hAnsi="ＭＳ Ｐゴシック" w:hint="eastAsia"/>
          <w:sz w:val="26"/>
        </w:rPr>
        <w:t>2</w:t>
      </w:r>
      <w:r>
        <w:rPr>
          <w:rFonts w:ascii="ＭＳ Ｐゴシック" w:eastAsia="ＭＳ Ｐゴシック" w:hAnsi="ＭＳ Ｐゴシック" w:hint="eastAsia"/>
          <w:sz w:val="26"/>
        </w:rPr>
        <w:t>期計画に</w:t>
      </w:r>
      <w:r>
        <w:rPr>
          <w:rFonts w:ascii="ＭＳ Ｐゴシック" w:eastAsia="ＭＳ Ｐゴシック" w:hAnsi="ＭＳ Ｐゴシック" w:hint="eastAsia"/>
          <w:sz w:val="26"/>
        </w:rPr>
        <w:t>係る</w:t>
      </w:r>
      <w:r>
        <w:rPr>
          <w:rFonts w:ascii="ＭＳ Ｐゴシック" w:eastAsia="ＭＳ Ｐゴシック" w:hAnsi="ＭＳ Ｐゴシック" w:hint="eastAsia"/>
          <w:sz w:val="26"/>
        </w:rPr>
        <w:t>考察及び第</w:t>
      </w:r>
      <w:r>
        <w:rPr>
          <w:rFonts w:ascii="ＭＳ Ｐゴシック" w:eastAsia="ＭＳ Ｐゴシック" w:hAnsi="ＭＳ Ｐゴシック" w:hint="eastAsia"/>
          <w:sz w:val="26"/>
        </w:rPr>
        <w:t>3</w:t>
      </w:r>
      <w:r>
        <w:rPr>
          <w:rFonts w:ascii="ＭＳ Ｐゴシック" w:eastAsia="ＭＳ Ｐゴシック" w:hAnsi="ＭＳ Ｐゴシック" w:hint="eastAsia"/>
          <w:sz w:val="26"/>
        </w:rPr>
        <w:t xml:space="preserve">期における健康課題の明確化　</w:t>
      </w:r>
      <w:r>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10</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１．保険者の特性</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２．第</w:t>
      </w:r>
      <w:r>
        <w:rPr>
          <w:rFonts w:ascii="ＭＳ Ｐゴシック" w:eastAsia="ＭＳ Ｐゴシック" w:hAnsi="ＭＳ Ｐゴシック" w:hint="eastAsia"/>
          <w:sz w:val="24"/>
        </w:rPr>
        <w:t>2</w:t>
      </w:r>
      <w:r>
        <w:rPr>
          <w:rFonts w:ascii="ＭＳ Ｐゴシック" w:eastAsia="ＭＳ Ｐゴシック" w:hAnsi="ＭＳ Ｐゴシック" w:hint="eastAsia"/>
          <w:sz w:val="24"/>
        </w:rPr>
        <w:t>期計画に係る評価及び考察</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１）第</w:t>
      </w:r>
      <w:r>
        <w:rPr>
          <w:rFonts w:ascii="ＭＳ Ｐゴシック" w:eastAsia="ＭＳ Ｐゴシック" w:hAnsi="ＭＳ Ｐゴシック" w:hint="eastAsia"/>
          <w:sz w:val="24"/>
        </w:rPr>
        <w:t>2</w:t>
      </w:r>
      <w:r>
        <w:rPr>
          <w:rFonts w:ascii="ＭＳ Ｐゴシック" w:eastAsia="ＭＳ Ｐゴシック" w:hAnsi="ＭＳ Ｐゴシック" w:hint="eastAsia"/>
          <w:sz w:val="24"/>
        </w:rPr>
        <w:t>期計画に係る評価</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２）主な個別事業の評価と課題</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３．第</w:t>
      </w:r>
      <w:r>
        <w:rPr>
          <w:rFonts w:ascii="ＭＳ Ｐゴシック" w:eastAsia="ＭＳ Ｐゴシック" w:hAnsi="ＭＳ Ｐゴシック" w:hint="eastAsia"/>
          <w:sz w:val="24"/>
        </w:rPr>
        <w:t>3</w:t>
      </w:r>
      <w:r>
        <w:rPr>
          <w:rFonts w:ascii="ＭＳ Ｐゴシック" w:eastAsia="ＭＳ Ｐゴシック" w:hAnsi="ＭＳ Ｐゴシック" w:hint="eastAsia"/>
          <w:sz w:val="24"/>
        </w:rPr>
        <w:t>期における健康課題の明確化</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１）基本的考え方</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２）健康課題の明確化</w:t>
      </w:r>
    </w:p>
    <w:p w:rsidR="00584782" w:rsidRDefault="003A4011">
      <w:pPr>
        <w:jc w:val="left"/>
        <w:rPr>
          <w:rFonts w:ascii="ＭＳ Ｐゴシック" w:eastAsia="ＭＳ Ｐゴシック" w:hAnsi="ＭＳ Ｐゴシック"/>
          <w:color w:val="C00000"/>
          <w:sz w:val="24"/>
        </w:rPr>
      </w:pPr>
      <w:r>
        <w:rPr>
          <w:rFonts w:ascii="ＭＳ Ｐゴシック" w:eastAsia="ＭＳ Ｐゴシック" w:hAnsi="ＭＳ Ｐゴシック" w:hint="eastAsia"/>
          <w:sz w:val="24"/>
        </w:rPr>
        <w:t xml:space="preserve">　　３</w:t>
      </w:r>
      <w:r>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目標の設定</w:t>
      </w:r>
    </w:p>
    <w:p w:rsidR="00584782" w:rsidRDefault="00584782">
      <w:pPr>
        <w:spacing w:line="320" w:lineRule="exact"/>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8"/>
        </w:rPr>
      </w:pPr>
      <w:r>
        <w:rPr>
          <w:rFonts w:ascii="ＭＳ Ｐゴシック" w:eastAsia="ＭＳ Ｐゴシック" w:hAnsi="ＭＳ Ｐゴシック" w:hint="eastAsia"/>
          <w:sz w:val="28"/>
        </w:rPr>
        <w:t>第</w:t>
      </w:r>
      <w:r>
        <w:rPr>
          <w:rFonts w:ascii="ＭＳ Ｐゴシック" w:eastAsia="ＭＳ Ｐゴシック" w:hAnsi="ＭＳ Ｐゴシック" w:hint="eastAsia"/>
          <w:sz w:val="28"/>
        </w:rPr>
        <w:t>3</w:t>
      </w:r>
      <w:r>
        <w:rPr>
          <w:rFonts w:ascii="ＭＳ Ｐゴシック" w:eastAsia="ＭＳ Ｐゴシック" w:hAnsi="ＭＳ Ｐゴシック" w:hint="eastAsia"/>
          <w:sz w:val="28"/>
        </w:rPr>
        <w:t>章　特定健診・特定保健指導の実施</w:t>
      </w:r>
      <w:r>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法定義務</w:t>
      </w:r>
      <w:r>
        <w:rPr>
          <w:rFonts w:ascii="ＭＳ Ｐゴシック" w:eastAsia="ＭＳ Ｐゴシック" w:hAnsi="ＭＳ Ｐゴシック" w:hint="eastAsia"/>
          <w:sz w:val="28"/>
        </w:rPr>
        <w:t>)</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34</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１．第四期特定健康診査等実施計画について</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２．目標値の設定</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３．対象者の見込み</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４．特定健診の実施</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５．特定保健指導の実施</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６．個人情報の保護</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７．結果の報告</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８．特定健康診査等実施計画の公表・周知</w:t>
      </w:r>
    </w:p>
    <w:p w:rsidR="00584782" w:rsidRDefault="00584782">
      <w:pPr>
        <w:spacing w:line="320" w:lineRule="exact"/>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8"/>
        </w:rPr>
        <w:t>第</w:t>
      </w:r>
      <w:r>
        <w:rPr>
          <w:rFonts w:ascii="ＭＳ Ｐゴシック" w:eastAsia="ＭＳ Ｐゴシック" w:hAnsi="ＭＳ Ｐゴシック" w:hint="eastAsia"/>
          <w:sz w:val="28"/>
        </w:rPr>
        <w:t>4</w:t>
      </w:r>
      <w:r>
        <w:rPr>
          <w:rFonts w:ascii="ＭＳ Ｐゴシック" w:eastAsia="ＭＳ Ｐゴシック" w:hAnsi="ＭＳ Ｐゴシック" w:hint="eastAsia"/>
          <w:sz w:val="28"/>
        </w:rPr>
        <w:t>章　課題解決するための個別保健事業　　・・・・・・・・・・・・・・・・・・・・・・・・</w:t>
      </w:r>
      <w:r>
        <w:rPr>
          <w:rFonts w:ascii="ＭＳ Ｐゴシック" w:eastAsia="ＭＳ Ｐゴシック" w:hAnsi="ＭＳ Ｐゴシック" w:hint="eastAsia"/>
          <w:sz w:val="28"/>
        </w:rPr>
        <w:t>41</w:t>
      </w:r>
      <w:r>
        <w:rPr>
          <w:rFonts w:ascii="ＭＳ Ｐゴシック" w:eastAsia="ＭＳ Ｐゴシック" w:hAnsi="ＭＳ Ｐゴシック" w:hint="eastAsia"/>
          <w:sz w:val="24"/>
        </w:rPr>
        <w:t>Ⅰ．保健事業の方向性</w:t>
      </w:r>
    </w:p>
    <w:p w:rsidR="00584782" w:rsidRDefault="00584782">
      <w:pPr>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Ⅱ．重症化予防の取組</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１．糖尿病性腎症重症化予防</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２．肥満・メタボリックシンドローム重症化予防</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３．虚血性心疾患重症化予防</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４．脳血管疾患重症化予防</w:t>
      </w:r>
    </w:p>
    <w:p w:rsidR="00584782" w:rsidRDefault="00584782">
      <w:pPr>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Ⅲ．高齢者の保健事業と介護予防の一体的実施</w:t>
      </w:r>
    </w:p>
    <w:p w:rsidR="00584782" w:rsidRDefault="00584782">
      <w:pPr>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Ⅳ．発症予防</w:t>
      </w:r>
    </w:p>
    <w:p w:rsidR="00584782" w:rsidRDefault="00584782">
      <w:pPr>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Ⅴ．ポピュレーションアプローチ</w:t>
      </w:r>
    </w:p>
    <w:p w:rsidR="00584782" w:rsidRDefault="00584782">
      <w:pPr>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8"/>
        </w:rPr>
        <w:t>第</w:t>
      </w:r>
      <w:r>
        <w:rPr>
          <w:rFonts w:ascii="ＭＳ Ｐゴシック" w:eastAsia="ＭＳ Ｐゴシック" w:hAnsi="ＭＳ Ｐゴシック" w:hint="eastAsia"/>
          <w:sz w:val="28"/>
        </w:rPr>
        <w:t>5</w:t>
      </w:r>
      <w:r>
        <w:rPr>
          <w:rFonts w:ascii="ＭＳ Ｐゴシック" w:eastAsia="ＭＳ Ｐゴシック" w:hAnsi="ＭＳ Ｐゴシック" w:hint="eastAsia"/>
          <w:sz w:val="28"/>
        </w:rPr>
        <w:t>章　計画の評価・見直し</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8"/>
        </w:rPr>
        <w:t>・・・・・・・・・・・・・・・・・・・・・・・・・・・・・・・・・・・・・</w:t>
      </w:r>
      <w:r>
        <w:rPr>
          <w:rFonts w:ascii="ＭＳ Ｐゴシック" w:eastAsia="ＭＳ Ｐゴシック" w:hAnsi="ＭＳ Ｐゴシック" w:hint="eastAsia"/>
          <w:sz w:val="28"/>
        </w:rPr>
        <w:t>69</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１．評価の時期</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２．評価方法・体制</w:t>
      </w:r>
    </w:p>
    <w:p w:rsidR="00584782" w:rsidRDefault="00584782">
      <w:pPr>
        <w:jc w:val="left"/>
        <w:rPr>
          <w:rFonts w:ascii="ＭＳ Ｐゴシック" w:eastAsia="ＭＳ Ｐゴシック" w:hAnsi="ＭＳ Ｐゴシック"/>
          <w:sz w:val="24"/>
        </w:rPr>
      </w:pPr>
    </w:p>
    <w:p w:rsidR="00584782" w:rsidRDefault="003A4011">
      <w:pPr>
        <w:jc w:val="left"/>
        <w:rPr>
          <w:rFonts w:ascii="ＭＳ Ｐゴシック" w:eastAsia="ＭＳ Ｐゴシック" w:hAnsi="ＭＳ Ｐゴシック"/>
          <w:sz w:val="28"/>
        </w:rPr>
      </w:pPr>
      <w:r>
        <w:rPr>
          <w:rFonts w:ascii="ＭＳ Ｐゴシック" w:eastAsia="ＭＳ Ｐゴシック" w:hAnsi="ＭＳ Ｐゴシック" w:hint="eastAsia"/>
          <w:sz w:val="28"/>
        </w:rPr>
        <w:t>第</w:t>
      </w:r>
      <w:r>
        <w:rPr>
          <w:rFonts w:ascii="ＭＳ Ｐゴシック" w:eastAsia="ＭＳ Ｐゴシック" w:hAnsi="ＭＳ Ｐゴシック" w:hint="eastAsia"/>
          <w:sz w:val="28"/>
        </w:rPr>
        <w:t>6</w:t>
      </w:r>
      <w:r>
        <w:rPr>
          <w:rFonts w:ascii="ＭＳ Ｐゴシック" w:eastAsia="ＭＳ Ｐゴシック" w:hAnsi="ＭＳ Ｐゴシック" w:hint="eastAsia"/>
          <w:sz w:val="28"/>
        </w:rPr>
        <w:t>章　計画の公表・周知及び個人情報の取扱い　・・・・・・・・・・・・・・・・・・・・</w:t>
      </w:r>
      <w:r>
        <w:rPr>
          <w:rFonts w:ascii="ＭＳ Ｐゴシック" w:eastAsia="ＭＳ Ｐゴシック" w:hAnsi="ＭＳ Ｐゴシック" w:hint="eastAsia"/>
          <w:sz w:val="28"/>
        </w:rPr>
        <w:t>70</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１．計画の公表・周知</w:t>
      </w:r>
    </w:p>
    <w:p w:rsidR="00584782" w:rsidRDefault="003A4011">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２．個人情報の取扱い</w:t>
      </w:r>
    </w:p>
    <w:p w:rsidR="00584782" w:rsidRDefault="00584782">
      <w:pPr>
        <w:spacing w:line="440" w:lineRule="exact"/>
        <w:jc w:val="left"/>
        <w:rPr>
          <w:rFonts w:ascii="ＭＳ Ｐゴシック" w:eastAsia="ＭＳ Ｐゴシック" w:hAnsi="ＭＳ Ｐゴシック"/>
          <w:sz w:val="36"/>
        </w:rPr>
      </w:pPr>
    </w:p>
    <w:p w:rsidR="00584782" w:rsidRDefault="00584782">
      <w:pPr>
        <w:spacing w:line="440" w:lineRule="exact"/>
        <w:jc w:val="left"/>
        <w:rPr>
          <w:rFonts w:ascii="ＭＳ Ｐゴシック" w:eastAsia="ＭＳ Ｐゴシック" w:hAnsi="ＭＳ Ｐゴシック"/>
          <w:sz w:val="36"/>
        </w:rPr>
      </w:pPr>
    </w:p>
    <w:p w:rsidR="00584782" w:rsidRDefault="003A4011">
      <w:pPr>
        <w:spacing w:line="440" w:lineRule="exact"/>
        <w:jc w:val="left"/>
        <w:rPr>
          <w:rFonts w:ascii="ＭＳ Ｐゴシック" w:eastAsia="ＭＳ Ｐゴシック" w:hAnsi="ＭＳ Ｐゴシック"/>
          <w:sz w:val="28"/>
        </w:rPr>
        <w:sectPr w:rsidR="00584782">
          <w:footerReference w:type="default" r:id="rId7"/>
          <w:pgSz w:w="11906" w:h="16838"/>
          <w:pgMar w:top="1418" w:right="1274" w:bottom="1418" w:left="1418" w:header="851" w:footer="992" w:gutter="0"/>
          <w:pgNumType w:start="1"/>
          <w:cols w:space="720"/>
          <w:docGrid w:type="lines" w:linePitch="360"/>
        </w:sectPr>
      </w:pPr>
      <w:r>
        <w:rPr>
          <w:rFonts w:ascii="ＭＳ Ｐゴシック" w:eastAsia="ＭＳ Ｐゴシック" w:hAnsi="ＭＳ Ｐゴシック" w:hint="eastAsia"/>
          <w:sz w:val="28"/>
        </w:rPr>
        <w:t>参考資料　・・・・・・・・・・・・・・・・・・・・・・・・・・・・・・・・・・・・・・・・・・・・・・・・・・・・・・</w:t>
      </w:r>
      <w:r>
        <w:rPr>
          <w:rFonts w:ascii="ＭＳ Ｐゴシック" w:eastAsia="ＭＳ Ｐゴシック" w:hAnsi="ＭＳ Ｐゴシック" w:hint="eastAsia"/>
          <w:sz w:val="28"/>
        </w:rPr>
        <w:t>71</w:t>
      </w:r>
    </w:p>
    <w:p w:rsidR="00584782" w:rsidRDefault="003A4011">
      <w:pPr>
        <w:spacing w:line="440" w:lineRule="exact"/>
        <w:jc w:val="left"/>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第</w:t>
      </w:r>
      <w:r>
        <w:rPr>
          <w:rFonts w:ascii="ＭＳ Ｐゴシック" w:eastAsia="ＭＳ Ｐゴシック" w:hAnsi="ＭＳ Ｐゴシック" w:hint="eastAsia"/>
          <w:sz w:val="32"/>
        </w:rPr>
        <w:t>1</w:t>
      </w:r>
      <w:r>
        <w:rPr>
          <w:rFonts w:ascii="ＭＳ Ｐゴシック" w:eastAsia="ＭＳ Ｐゴシック" w:hAnsi="ＭＳ Ｐゴシック" w:hint="eastAsia"/>
          <w:sz w:val="32"/>
        </w:rPr>
        <w:t>章　保健事業実施計画（データヘルス計画）の基本的な考え方</w:t>
      </w:r>
    </w:p>
    <w:p w:rsidR="00584782" w:rsidRDefault="003A4011">
      <w:pPr>
        <w:pStyle w:val="a3"/>
        <w:numPr>
          <w:ilvl w:val="0"/>
          <w:numId w:val="1"/>
        </w:numPr>
        <w:ind w:leftChars="0"/>
        <w:rPr>
          <w:rFonts w:ascii="ＭＳ Ｐゴシック" w:eastAsia="ＭＳ Ｐゴシック" w:hAnsi="ＭＳ Ｐゴシック"/>
          <w:b/>
          <w:sz w:val="28"/>
        </w:rPr>
      </w:pPr>
      <w:r>
        <w:rPr>
          <w:rFonts w:ascii="ＭＳ Ｐゴシック" w:eastAsia="ＭＳ Ｐゴシック" w:hAnsi="ＭＳ Ｐゴシック" w:hint="eastAsia"/>
          <w:b/>
          <w:sz w:val="28"/>
        </w:rPr>
        <w:t>背景・目的</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平成</w:t>
      </w:r>
      <w:r>
        <w:rPr>
          <w:rFonts w:ascii="ＭＳ Ｐゴシック" w:eastAsia="ＭＳ Ｐゴシック" w:hAnsi="ＭＳ Ｐゴシック" w:hint="eastAsia"/>
          <w:sz w:val="22"/>
        </w:rPr>
        <w:t>25</w:t>
      </w:r>
      <w:r>
        <w:rPr>
          <w:rFonts w:ascii="ＭＳ Ｐゴシック" w:eastAsia="ＭＳ Ｐゴシック" w:hAnsi="ＭＳ Ｐゴシック" w:hint="eastAsia"/>
          <w:sz w:val="22"/>
        </w:rPr>
        <w:t>年</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月</w:t>
      </w:r>
      <w:r>
        <w:rPr>
          <w:rFonts w:ascii="ＭＳ Ｐゴシック" w:eastAsia="ＭＳ Ｐゴシック" w:hAnsi="ＭＳ Ｐゴシック" w:hint="eastAsia"/>
          <w:sz w:val="22"/>
        </w:rPr>
        <w:t>14</w:t>
      </w:r>
      <w:r>
        <w:rPr>
          <w:rFonts w:ascii="ＭＳ Ｐゴシック" w:eastAsia="ＭＳ Ｐゴシック" w:hAnsi="ＭＳ Ｐゴシック" w:hint="eastAsia"/>
          <w:sz w:val="22"/>
        </w:rPr>
        <w:t>日に閣議決定された「日本再興戦略</w:t>
      </w:r>
      <w:r>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vertAlign w:val="superscript"/>
        </w:rPr>
        <w:t>1</w:t>
      </w:r>
      <w:r>
        <w:rPr>
          <w:rFonts w:ascii="ＭＳ Ｐゴシック" w:eastAsia="ＭＳ Ｐゴシック" w:hAnsi="ＭＳ Ｐゴシック" w:hint="eastAsia"/>
          <w:sz w:val="22"/>
        </w:rPr>
        <w:t>」において、「全ての健康保険組合に対し、レセプト等のデータの分析、それに基づく加入者の健康保持増進のための事業計画として「計画」の作成、公表、事業実施、評価等を求めるとともに、市町村国保が同様の取組を行うことを推進する。」とされました。平成</w:t>
      </w:r>
      <w:r>
        <w:rPr>
          <w:rFonts w:ascii="ＭＳ Ｐゴシック" w:eastAsia="ＭＳ Ｐゴシック" w:hAnsi="ＭＳ Ｐゴシック" w:hint="eastAsia"/>
          <w:sz w:val="22"/>
        </w:rPr>
        <w:t>26</w:t>
      </w:r>
      <w:r>
        <w:rPr>
          <w:rFonts w:ascii="ＭＳ Ｐゴシック" w:eastAsia="ＭＳ Ｐゴシック" w:hAnsi="ＭＳ Ｐゴシック" w:hint="eastAsia"/>
          <w:sz w:val="22"/>
        </w:rPr>
        <w:t>年</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月、国民健康</w:t>
      </w:r>
      <w:r>
        <w:rPr>
          <w:rFonts w:ascii="ＭＳ Ｐゴシック" w:eastAsia="ＭＳ Ｐゴシック" w:hAnsi="ＭＳ Ｐゴシック" w:hint="eastAsia"/>
          <w:sz w:val="22"/>
        </w:rPr>
        <w:t>保険法に基づく保健事業の実施等に関する指針</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厚生労働省告示</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以下「国指針」という。</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において市町村国保は、健康・医療情報を活用してＰＤＣＡサイクル</w:t>
      </w:r>
      <w:r>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vertAlign w:val="superscript"/>
        </w:rPr>
        <w:t>2</w:t>
      </w:r>
      <w:r>
        <w:rPr>
          <w:rFonts w:ascii="ＭＳ Ｐゴシック" w:eastAsia="ＭＳ Ｐゴシック" w:hAnsi="ＭＳ Ｐゴシック" w:hint="eastAsia"/>
          <w:sz w:val="22"/>
        </w:rPr>
        <w:t xml:space="preserve">に沿った効果的かつ効率的な保健事業の実施を図るための保健事業の実施計画（データヘルス計画）を策定したうえで、保健事業の実施・評価・改善等を行うことが求められています。　</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またその後、平成</w:t>
      </w:r>
      <w:r>
        <w:rPr>
          <w:rFonts w:ascii="ＭＳ Ｐゴシック" w:eastAsia="ＭＳ Ｐゴシック" w:hAnsi="ＭＳ Ｐゴシック" w:hint="eastAsia"/>
          <w:sz w:val="22"/>
        </w:rPr>
        <w:t>30</w:t>
      </w:r>
      <w:r>
        <w:rPr>
          <w:rFonts w:ascii="ＭＳ Ｐゴシック" w:eastAsia="ＭＳ Ｐゴシック" w:hAnsi="ＭＳ Ｐゴシック" w:hint="eastAsia"/>
          <w:sz w:val="22"/>
        </w:rPr>
        <w:t>年</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月から都道府県が財政運営の責任主体として共同保険者となり、令和</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年</w:t>
      </w:r>
      <w:r>
        <w:rPr>
          <w:rFonts w:ascii="ＭＳ Ｐゴシック" w:eastAsia="ＭＳ Ｐゴシック" w:hAnsi="ＭＳ Ｐゴシック" w:hint="eastAsia"/>
          <w:sz w:val="22"/>
        </w:rPr>
        <w:t>7</w:t>
      </w:r>
      <w:r>
        <w:rPr>
          <w:rFonts w:ascii="ＭＳ Ｐゴシック" w:eastAsia="ＭＳ Ｐゴシック" w:hAnsi="ＭＳ Ｐゴシック" w:hint="eastAsia"/>
          <w:sz w:val="22"/>
        </w:rPr>
        <w:t>月閣議決定された「経済財政運営と改革の基本方針</w:t>
      </w:r>
      <w:r>
        <w:rPr>
          <w:rFonts w:ascii="ＭＳ Ｐゴシック" w:eastAsia="ＭＳ Ｐゴシック" w:hAnsi="ＭＳ Ｐゴシック" w:hint="eastAsia"/>
          <w:sz w:val="22"/>
        </w:rPr>
        <w:t>2020(</w:t>
      </w:r>
      <w:r>
        <w:rPr>
          <w:rFonts w:ascii="ＭＳ Ｐゴシック" w:eastAsia="ＭＳ Ｐゴシック" w:hAnsi="ＭＳ Ｐゴシック" w:hint="eastAsia"/>
          <w:sz w:val="22"/>
        </w:rPr>
        <w:t>骨太方針</w:t>
      </w:r>
      <w:r>
        <w:rPr>
          <w:rFonts w:ascii="ＭＳ Ｐゴシック" w:eastAsia="ＭＳ Ｐゴシック" w:hAnsi="ＭＳ Ｐゴシック" w:hint="eastAsia"/>
          <w:sz w:val="22"/>
        </w:rPr>
        <w:t>2020)</w:t>
      </w:r>
      <w:r>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vertAlign w:val="superscript"/>
        </w:rPr>
        <w:t>3</w:t>
      </w:r>
      <w:r>
        <w:rPr>
          <w:rFonts w:ascii="ＭＳ Ｐゴシック" w:eastAsia="ＭＳ Ｐゴシック" w:hAnsi="ＭＳ Ｐゴシック" w:hint="eastAsia"/>
          <w:sz w:val="22"/>
        </w:rPr>
        <w:t>」において、保険者の</w:t>
      </w:r>
      <w:r>
        <w:rPr>
          <w:rFonts w:ascii="ＭＳ Ｐゴシック" w:eastAsia="ＭＳ Ｐゴシック" w:hAnsi="ＭＳ Ｐゴシック" w:hint="eastAsia"/>
          <w:sz w:val="22"/>
        </w:rPr>
        <w:t>データヘルスの計画の標準化等の取組みの推進が掲げられ、令和</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年</w:t>
      </w:r>
      <w:r>
        <w:rPr>
          <w:rFonts w:ascii="ＭＳ Ｐゴシック" w:eastAsia="ＭＳ Ｐゴシック" w:hAnsi="ＭＳ Ｐゴシック" w:hint="eastAsia"/>
          <w:sz w:val="22"/>
        </w:rPr>
        <w:t>12</w:t>
      </w:r>
      <w:r>
        <w:rPr>
          <w:rFonts w:ascii="ＭＳ Ｐゴシック" w:eastAsia="ＭＳ Ｐゴシック" w:hAnsi="ＭＳ Ｐゴシック" w:hint="eastAsia"/>
          <w:sz w:val="22"/>
        </w:rPr>
        <w:t>月に経済財政諮問会議における「新経済・財政再生計画</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改革行程表</w:t>
      </w:r>
      <w:r>
        <w:rPr>
          <w:rFonts w:ascii="ＭＳ Ｐゴシック" w:eastAsia="ＭＳ Ｐゴシック" w:hAnsi="ＭＳ Ｐゴシック" w:hint="eastAsia"/>
          <w:sz w:val="22"/>
          <w:vertAlign w:val="superscript"/>
        </w:rPr>
        <w:t>※</w:t>
      </w:r>
      <w:r>
        <w:rPr>
          <w:rFonts w:ascii="ＭＳ Ｐゴシック" w:eastAsia="ＭＳ Ｐゴシック" w:hAnsi="ＭＳ Ｐゴシック" w:hint="eastAsia"/>
          <w:sz w:val="22"/>
          <w:vertAlign w:val="superscript"/>
        </w:rPr>
        <w:t>4</w:t>
      </w:r>
      <w:r>
        <w:rPr>
          <w:rFonts w:ascii="ＭＳ Ｐゴシック" w:eastAsia="ＭＳ Ｐゴシック" w:hAnsi="ＭＳ Ｐゴシック" w:hint="eastAsia"/>
          <w:sz w:val="22"/>
        </w:rPr>
        <w:t>2022</w:t>
      </w:r>
      <w:r>
        <w:rPr>
          <w:rFonts w:ascii="ＭＳ Ｐゴシック" w:eastAsia="ＭＳ Ｐゴシック" w:hAnsi="ＭＳ Ｐゴシック" w:hint="eastAsia"/>
          <w:sz w:val="22"/>
        </w:rPr>
        <w:t>」において、「保険者が策定するデータヘルス計画の手引きの改訂等を行うとともに、当該計画の標準化の進展にあたり、保険者共通の評価指標やアウトカムベースでの適正なＫＰＩの設定を推進する。」と示されました。</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このように、全ての保険者にデータヘルス計画の策定が求められ、効果的・効率的な保健事業の実施に向けて、標準化の取組の推進や評価指標の設定の推進が進められています。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このよう</w:t>
      </w:r>
      <w:r>
        <w:rPr>
          <w:rFonts w:ascii="ＭＳ Ｐゴシック" w:eastAsia="ＭＳ Ｐゴシック" w:hAnsi="ＭＳ Ｐゴシック" w:hint="eastAsia"/>
          <w:sz w:val="22"/>
        </w:rPr>
        <w:t>な国の動きや</w:t>
      </w:r>
      <w:r>
        <w:rPr>
          <w:rFonts w:ascii="ＭＳ Ｐゴシック" w:eastAsia="ＭＳ Ｐゴシック" w:hAnsi="ＭＳ Ｐゴシック" w:hint="eastAsia"/>
          <w:sz w:val="22"/>
        </w:rPr>
        <w:t>本町</w:t>
      </w:r>
      <w:r>
        <w:rPr>
          <w:rFonts w:ascii="ＭＳ Ｐゴシック" w:eastAsia="ＭＳ Ｐゴシック" w:hAnsi="ＭＳ Ｐゴシック" w:hint="eastAsia"/>
          <w:sz w:val="22"/>
        </w:rPr>
        <w:t>の課題等を踏まえ、</w:t>
      </w:r>
      <w:r>
        <w:rPr>
          <w:rFonts w:ascii="ＭＳ Ｐゴシック" w:eastAsia="ＭＳ Ｐゴシック" w:hAnsi="ＭＳ Ｐゴシック" w:hint="eastAsia"/>
          <w:sz w:val="22"/>
        </w:rPr>
        <w:t>本町</w:t>
      </w:r>
      <w:r>
        <w:rPr>
          <w:rFonts w:ascii="ＭＳ Ｐゴシック" w:eastAsia="ＭＳ Ｐゴシック" w:hAnsi="ＭＳ Ｐゴシック" w:hint="eastAsia"/>
          <w:sz w:val="22"/>
        </w:rPr>
        <w:t>では、保健事業を引き続き実施するにあたり、国の指針に基づいて、「第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期保健事業実施計画（データヘルス計画）」を策定します。</w:t>
      </w: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3A4011">
      <w:r>
        <w:rPr>
          <w:rFonts w:ascii="ＭＳ Ｐゴシック" w:eastAsia="ＭＳ Ｐゴシック" w:hAnsi="ＭＳ Ｐゴシック" w:hint="eastAsia"/>
          <w:sz w:val="20"/>
          <w:u w:val="dotted"/>
        </w:rPr>
        <w:t xml:space="preserve">　　　</w:t>
      </w:r>
      <w:r>
        <w:rPr>
          <w:rFonts w:hint="eastAsia"/>
          <w:u w:val="dotted"/>
        </w:rPr>
        <w:t xml:space="preserve">　　　　　　　　　　　　　　　　　　　　　　　　　　　　　　　　　　　　　　　　　</w:t>
      </w:r>
    </w:p>
    <w:p w:rsidR="00584782" w:rsidRDefault="003A4011">
      <w:pPr>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1</w:t>
      </w:r>
      <w:r>
        <w:rPr>
          <w:rFonts w:ascii="ＭＳ Ｐゴシック" w:eastAsia="ＭＳ Ｐゴシック" w:hAnsi="ＭＳ Ｐゴシック" w:hint="eastAsia"/>
          <w:sz w:val="20"/>
        </w:rPr>
        <w:t xml:space="preserve">　日本再興戦略：我が国の経済再生に向けて、産業基盤の強化、医療・エネルギー等の市場創出、国際経済連携の推進や海外市場の獲得等、第二次安倍内閣が掲げた成長戦略のこと（</w:t>
      </w:r>
      <w:r>
        <w:rPr>
          <w:rFonts w:ascii="ＭＳ Ｐゴシック" w:eastAsia="ＭＳ Ｐゴシック" w:hAnsi="ＭＳ Ｐゴシック" w:hint="eastAsia"/>
          <w:sz w:val="20"/>
        </w:rPr>
        <w:t>H25.6</w:t>
      </w:r>
      <w:r>
        <w:rPr>
          <w:rFonts w:ascii="ＭＳ Ｐゴシック" w:eastAsia="ＭＳ Ｐゴシック" w:hAnsi="ＭＳ Ｐゴシック" w:hint="eastAsia"/>
          <w:sz w:val="20"/>
        </w:rPr>
        <w:t>閣議決定）</w:t>
      </w:r>
    </w:p>
    <w:p w:rsidR="00584782" w:rsidRDefault="003A4011">
      <w:pPr>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2</w:t>
      </w:r>
      <w:r>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PDCA</w:t>
      </w:r>
      <w:r>
        <w:rPr>
          <w:rFonts w:ascii="ＭＳ Ｐゴシック" w:eastAsia="ＭＳ Ｐゴシック" w:hAnsi="ＭＳ Ｐゴシック" w:hint="eastAsia"/>
          <w:sz w:val="20"/>
        </w:rPr>
        <w:t>サイクル：</w:t>
      </w:r>
      <w:r>
        <w:rPr>
          <w:rFonts w:ascii="ＭＳ Ｐゴシック" w:eastAsia="ＭＳ Ｐゴシック" w:hAnsi="ＭＳ Ｐゴシック" w:hint="eastAsia"/>
          <w:sz w:val="20"/>
        </w:rPr>
        <w:t>P</w:t>
      </w:r>
      <w:r>
        <w:rPr>
          <w:rFonts w:ascii="ＭＳ Ｐゴシック" w:eastAsia="ＭＳ Ｐゴシック" w:hAnsi="ＭＳ Ｐゴシック" w:hint="eastAsia"/>
          <w:sz w:val="20"/>
        </w:rPr>
        <w:t>（計画）→</w:t>
      </w:r>
      <w:r>
        <w:rPr>
          <w:rFonts w:ascii="ＭＳ Ｐゴシック" w:eastAsia="ＭＳ Ｐゴシック" w:hAnsi="ＭＳ Ｐゴシック" w:hint="eastAsia"/>
          <w:sz w:val="20"/>
        </w:rPr>
        <w:t>D</w:t>
      </w:r>
      <w:r>
        <w:rPr>
          <w:rFonts w:ascii="ＭＳ Ｐゴシック" w:eastAsia="ＭＳ Ｐゴシック" w:hAnsi="ＭＳ Ｐゴシック" w:hint="eastAsia"/>
          <w:sz w:val="20"/>
        </w:rPr>
        <w:t>（実施）→</w:t>
      </w:r>
      <w:r>
        <w:rPr>
          <w:rFonts w:ascii="ＭＳ Ｐゴシック" w:eastAsia="ＭＳ Ｐゴシック" w:hAnsi="ＭＳ Ｐゴシック" w:hint="eastAsia"/>
          <w:sz w:val="20"/>
        </w:rPr>
        <w:t>C</w:t>
      </w:r>
      <w:r>
        <w:rPr>
          <w:rFonts w:ascii="ＭＳ Ｐゴシック" w:eastAsia="ＭＳ Ｐゴシック" w:hAnsi="ＭＳ Ｐゴシック" w:hint="eastAsia"/>
          <w:sz w:val="20"/>
        </w:rPr>
        <w:t>（評価）→</w:t>
      </w:r>
      <w:r>
        <w:rPr>
          <w:rFonts w:ascii="ＭＳ Ｐゴシック" w:eastAsia="ＭＳ Ｐゴシック" w:hAnsi="ＭＳ Ｐゴシック" w:hint="eastAsia"/>
          <w:sz w:val="20"/>
        </w:rPr>
        <w:t>A</w:t>
      </w:r>
      <w:r>
        <w:rPr>
          <w:rFonts w:ascii="ＭＳ Ｐゴシック" w:eastAsia="ＭＳ Ｐゴシック" w:hAnsi="ＭＳ Ｐゴシック" w:hint="eastAsia"/>
          <w:sz w:val="20"/>
        </w:rPr>
        <w:t>（改善）を繰り返し行うこと</w:t>
      </w:r>
    </w:p>
    <w:p w:rsidR="00584782" w:rsidRDefault="003A4011">
      <w:pPr>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Pr>
          <w:rFonts w:ascii="ＭＳ Ｐゴシック" w:eastAsia="ＭＳ Ｐゴシック" w:hAnsi="ＭＳ Ｐゴシック" w:hint="eastAsia"/>
          <w:sz w:val="20"/>
        </w:rPr>
        <w:t xml:space="preserve">　経済財政運営と改革の基本方針：政府の経済財政政策に関する基本的な方針を示すとともに、経済、財政、行政、社会などの分野における改革の重要性とその方向性を示すもの</w:t>
      </w:r>
    </w:p>
    <w:p w:rsidR="00584782" w:rsidRDefault="003A4011">
      <w:pPr>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4</w:t>
      </w:r>
      <w:r>
        <w:rPr>
          <w:rFonts w:ascii="ＭＳ Ｐゴシック" w:eastAsia="ＭＳ Ｐゴシック" w:hAnsi="ＭＳ Ｐゴシック" w:hint="eastAsia"/>
          <w:sz w:val="20"/>
        </w:rPr>
        <w:t xml:space="preserve">　新経済・財政再生計画</w:t>
      </w:r>
      <w:r>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改革行程表：新経済・財政再生計画に掲げられた主要分野ごとの重要課題への対応と</w:t>
      </w:r>
      <w:r>
        <w:rPr>
          <w:rFonts w:ascii="ＭＳ Ｐゴシック" w:eastAsia="ＭＳ Ｐゴシック" w:hAnsi="ＭＳ Ｐゴシック" w:hint="eastAsia"/>
          <w:sz w:val="20"/>
        </w:rPr>
        <w:t>KPI</w:t>
      </w:r>
      <w:r>
        <w:rPr>
          <w:rFonts w:ascii="ＭＳ Ｐゴシック" w:eastAsia="ＭＳ Ｐゴシック" w:hAnsi="ＭＳ Ｐゴシック" w:hint="eastAsia"/>
          <w:sz w:val="20"/>
        </w:rPr>
        <w:t>（重要業績評価指標）、それぞれの政策目標とのつながりを明示することにより、目指す成果への道筋を示すもの</w:t>
      </w:r>
    </w:p>
    <w:p w:rsidR="00584782" w:rsidRDefault="003A4011">
      <w:pPr>
        <w:pStyle w:val="a3"/>
        <w:numPr>
          <w:ilvl w:val="0"/>
          <w:numId w:val="1"/>
        </w:numPr>
        <w:ind w:leftChars="0"/>
        <w:rPr>
          <w:rFonts w:ascii="ＭＳ Ｐゴシック" w:eastAsia="ＭＳ Ｐゴシック" w:hAnsi="ＭＳ Ｐゴシック"/>
          <w:b/>
          <w:sz w:val="28"/>
        </w:rPr>
      </w:pPr>
      <w:r>
        <w:rPr>
          <w:rFonts w:ascii="ＭＳ Ｐゴシック" w:eastAsia="ＭＳ Ｐゴシック" w:hAnsi="ＭＳ Ｐゴシック" w:hint="eastAsia"/>
          <w:b/>
          <w:sz w:val="28"/>
        </w:rPr>
        <w:lastRenderedPageBreak/>
        <w:t>計画の位置付けと基本的な考え方</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期保健事業の実施計画（データヘルス計画）とは、被保険者の</w:t>
      </w:r>
      <w:r>
        <w:rPr>
          <w:rFonts w:ascii="ＭＳ Ｐゴシック" w:eastAsia="ＭＳ Ｐゴシック" w:hAnsi="ＭＳ Ｐゴシック" w:hint="eastAsia"/>
          <w:sz w:val="22"/>
        </w:rPr>
        <w:t>健康の保持増進に資することを目的として、保険者等が効果的かつ効率的な保健事業の実施を図るため、特定健診等の結果、レセプトデータ等の健康・医療情報を活用して、ＰＤＣＡサイクルに沿って運用するもので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計画は、健康増進法に基づく「基本的な方針」を踏まえるとともに、都道府県健康増進計画や市町村健康増進計画、都道府県医療費適正化計画、介護保険事業</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支援</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計画、高齢者保健事業の実施計画、国民健康保険運営方針、特定健康診査等実施計画と調和のとれたものとする必要があります。（図表</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また、「特定健診等実施計画」は保健</w:t>
      </w:r>
      <w:r>
        <w:rPr>
          <w:rFonts w:ascii="ＭＳ Ｐゴシック" w:eastAsia="ＭＳ Ｐゴシック" w:hAnsi="ＭＳ Ｐゴシック" w:hint="eastAsia"/>
          <w:sz w:val="22"/>
        </w:rPr>
        <w:t>事業の中核をなす特定健診及び特定保健指導の具体的な実施方法を定めるものであることから、保健事業実施計画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データヘルス計画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と一体的に策定することします。ただし、保健事業実施計画（データヘルス計画）の対象者は、被保険者全員とします。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さらに、「標準的な健診・保健指導プログラム</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令和</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年度版</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vertAlign w:val="superscript"/>
        </w:rPr>
        <w:t>※５</w:t>
      </w:r>
      <w:r>
        <w:rPr>
          <w:rFonts w:ascii="ＭＳ Ｐゴシック" w:eastAsia="ＭＳ Ｐゴシック" w:hAnsi="ＭＳ Ｐゴシック" w:hint="eastAsia"/>
          <w:sz w:val="22"/>
        </w:rPr>
        <w:t>」（以下「プログラム」という。）は、高確法に基づく特定健診・特定保健指導を中心に、健康増進法に基づく生活習慣病対策を推進するための効果的な健診・保健指導を実施するにあたり、事務担当者を含め、健診・保健指導に関わる者が理</w:t>
      </w:r>
      <w:r>
        <w:rPr>
          <w:rFonts w:ascii="ＭＳ Ｐゴシック" w:eastAsia="ＭＳ Ｐゴシック" w:hAnsi="ＭＳ Ｐゴシック" w:hint="eastAsia"/>
          <w:sz w:val="22"/>
        </w:rPr>
        <w:t>解しておくべき基本的な考え方や実施する際の留意点等を示したものであることから、基本的な考え方については、プログラムに準じて保健事業を展開することが求められています。</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5)</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本市では、以上の事も踏まえ、国保データベース（</w:t>
      </w:r>
      <w:r>
        <w:rPr>
          <w:rFonts w:ascii="ＭＳ Ｐゴシック" w:eastAsia="ＭＳ Ｐゴシック" w:hAnsi="ＭＳ Ｐゴシック" w:hint="eastAsia"/>
          <w:sz w:val="22"/>
        </w:rPr>
        <w:t>KDB</w:t>
      </w:r>
      <w:r>
        <w:rPr>
          <w:rFonts w:ascii="ＭＳ Ｐゴシック" w:eastAsia="ＭＳ Ｐゴシック" w:hAnsi="ＭＳ Ｐゴシック" w:hint="eastAsia"/>
          <w:sz w:val="22"/>
          <w:vertAlign w:val="superscript"/>
        </w:rPr>
        <w:t>※６</w:t>
      </w:r>
      <w:r>
        <w:rPr>
          <w:rFonts w:ascii="ＭＳ Ｐゴシック" w:eastAsia="ＭＳ Ｐゴシック" w:hAnsi="ＭＳ Ｐゴシック" w:hint="eastAsia"/>
          <w:sz w:val="22"/>
        </w:rPr>
        <w:t>）を活用して特定健康診査の結果やレセプト、介護保険等のデータ分析を行い、優先的に取り組むべき健康課題を抽出した上で、生活習慣病の発症及び重症化予防に取り組み、国保加入者の健康保持増進を図ることで、健康寿命の延伸、ひいては医療費適正化を目指します。</w:t>
      </w:r>
    </w:p>
    <w:p w:rsidR="00584782" w:rsidRDefault="00584782"/>
    <w:p w:rsidR="00584782" w:rsidRDefault="00584782"/>
    <w:p w:rsidR="00584782" w:rsidRDefault="00584782"/>
    <w:p w:rsidR="00584782" w:rsidRDefault="00584782"/>
    <w:p w:rsidR="00584782" w:rsidRDefault="00584782"/>
    <w:p w:rsidR="00584782" w:rsidRDefault="00584782"/>
    <w:p w:rsidR="00584782" w:rsidRDefault="00584782">
      <w:pPr>
        <w:rPr>
          <w:rFonts w:ascii="ＭＳ Ｐゴシック" w:eastAsia="ＭＳ Ｐゴシック" w:hAnsi="ＭＳ Ｐゴシック"/>
          <w:sz w:val="20"/>
        </w:rPr>
      </w:pPr>
    </w:p>
    <w:p w:rsidR="00584782" w:rsidRDefault="003A4011">
      <w:r>
        <w:rPr>
          <w:rFonts w:ascii="ＭＳ Ｐゴシック" w:eastAsia="ＭＳ Ｐゴシック" w:hAnsi="ＭＳ Ｐゴシック" w:hint="eastAsia"/>
          <w:sz w:val="20"/>
          <w:u w:val="dotted"/>
        </w:rPr>
        <w:t xml:space="preserve">　　　</w:t>
      </w:r>
      <w:r>
        <w:rPr>
          <w:rFonts w:hint="eastAsia"/>
          <w:u w:val="dotted"/>
        </w:rPr>
        <w:t xml:space="preserve">　　　　　　　　　　　　　　　　　　　　　　　　　　　　　　　　　　　　　　　　　</w:t>
      </w:r>
    </w:p>
    <w:p w:rsidR="00584782" w:rsidRDefault="003A4011">
      <w:pPr>
        <w:rPr>
          <w:rFonts w:ascii="ＭＳ Ｐゴシック" w:eastAsia="ＭＳ Ｐゴシック" w:hAnsi="ＭＳ Ｐゴシック"/>
          <w:sz w:val="20"/>
        </w:rPr>
      </w:pPr>
      <w:r>
        <w:rPr>
          <w:rFonts w:ascii="ＭＳ Ｐゴシック" w:eastAsia="ＭＳ Ｐゴシック" w:hAnsi="ＭＳ Ｐゴシック" w:hint="eastAsia"/>
          <w:sz w:val="20"/>
        </w:rPr>
        <w:t>※５　標準的な健診・保健指導プログラム（令和</w:t>
      </w:r>
      <w:r>
        <w:rPr>
          <w:rFonts w:ascii="ＭＳ Ｐゴシック" w:eastAsia="ＭＳ Ｐゴシック" w:hAnsi="ＭＳ Ｐゴシック" w:hint="eastAsia"/>
          <w:sz w:val="20"/>
        </w:rPr>
        <w:t>6</w:t>
      </w:r>
      <w:r>
        <w:rPr>
          <w:rFonts w:ascii="ＭＳ Ｐゴシック" w:eastAsia="ＭＳ Ｐゴシック" w:hAnsi="ＭＳ Ｐゴシック" w:hint="eastAsia"/>
          <w:sz w:val="20"/>
        </w:rPr>
        <w:t>年度版）において中長期的な目標疾患は、脳血管疾患・心疾患、糖尿病合併症の減少を用いている。（図表</w:t>
      </w:r>
      <w:r>
        <w:rPr>
          <w:rFonts w:ascii="ＭＳ Ｐゴシック" w:eastAsia="ＭＳ Ｐゴシック" w:hAnsi="ＭＳ Ｐゴシック" w:hint="eastAsia"/>
          <w:sz w:val="20"/>
        </w:rPr>
        <w:t>2</w:t>
      </w:r>
      <w:r>
        <w:rPr>
          <w:rFonts w:ascii="ＭＳ Ｐゴシック" w:eastAsia="ＭＳ Ｐゴシック" w:hAnsi="ＭＳ Ｐゴシック" w:hint="eastAsia"/>
          <w:sz w:val="20"/>
        </w:rPr>
        <w:t>参照）</w:t>
      </w:r>
    </w:p>
    <w:p w:rsidR="00584782" w:rsidRDefault="003A4011">
      <w:pPr>
        <w:ind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なお、心疾患には健康づくりにより予防可能でないものも含まれているため、予防可能な循環器病の発症を予防し、結果として心疾患全体の死亡率を減少させることを目指すことより、保健事業実施（データヘルス）計画においては、第</w:t>
      </w:r>
      <w:r>
        <w:rPr>
          <w:rFonts w:ascii="ＭＳ Ｐゴシック" w:eastAsia="ＭＳ Ｐゴシック" w:hAnsi="ＭＳ Ｐゴシック" w:hint="eastAsia"/>
          <w:sz w:val="20"/>
        </w:rPr>
        <w:t>2</w:t>
      </w:r>
      <w:r>
        <w:rPr>
          <w:rFonts w:ascii="ＭＳ Ｐゴシック" w:eastAsia="ＭＳ Ｐゴシック" w:hAnsi="ＭＳ Ｐゴシック" w:hint="eastAsia"/>
          <w:sz w:val="20"/>
        </w:rPr>
        <w:t>期同様虚血性心疾患を予防の対象疾患とする。また、糖尿病合併症である細小血管障害（網膜症、腎症、神経障害）、大血管障害のうち、個人の生活の質への影響と医療経済への影響とが大きい糖尿病腎症に着目することとする。</w:t>
      </w:r>
    </w:p>
    <w:p w:rsidR="00584782" w:rsidRDefault="003A4011">
      <w:pPr>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※６　</w:t>
      </w:r>
      <w:r>
        <w:rPr>
          <w:rFonts w:ascii="ＭＳ Ｐゴシック" w:eastAsia="ＭＳ Ｐゴシック" w:hAnsi="ＭＳ Ｐゴシック" w:hint="eastAsia"/>
          <w:sz w:val="20"/>
        </w:rPr>
        <w:t>KDB</w:t>
      </w:r>
      <w:r>
        <w:rPr>
          <w:rFonts w:ascii="ＭＳ Ｐゴシック" w:eastAsia="ＭＳ Ｐゴシック" w:hAnsi="ＭＳ Ｐゴシック" w:hint="eastAsia"/>
          <w:sz w:val="20"/>
        </w:rPr>
        <w:t>：国民健康保険団体連合会が管理する「特定健康診査・特定保健指導」、「医療」、「介護保険」等に係る統計情報を保険者向けに情報提供するｼｽﾃﾑのこと。</w:t>
      </w:r>
    </w:p>
    <w:p w:rsidR="00584782" w:rsidRDefault="00584782">
      <w:pPr>
        <w:rPr>
          <w:rFonts w:ascii="ＭＳ Ｐゴシック" w:eastAsia="ＭＳ Ｐゴシック" w:hAnsi="ＭＳ Ｐゴシック"/>
          <w:sz w:val="20"/>
        </w:rPr>
      </w:pPr>
    </w:p>
    <w:p w:rsidR="00584782" w:rsidRDefault="00584782">
      <w:pPr>
        <w:rPr>
          <w:rFonts w:ascii="ＭＳ Ｐゴシック" w:eastAsia="ＭＳ Ｐゴシック" w:hAnsi="ＭＳ Ｐゴシック"/>
          <w:sz w:val="22"/>
        </w:rPr>
      </w:pPr>
    </w:p>
    <w:p w:rsidR="00584782" w:rsidRDefault="003A4011">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 xml:space="preserve">　データヘルス計画とその他法定計画等との位置づけ</w:t>
      </w:r>
    </w:p>
    <w:p w:rsidR="00584782" w:rsidRDefault="00584782">
      <w:pPr>
        <w:rPr>
          <w:rFonts w:asciiTheme="majorEastAsia" w:eastAsiaTheme="majorEastAsia" w:hAnsiTheme="majorEastAsia"/>
          <w:sz w:val="24"/>
        </w:rPr>
      </w:pPr>
    </w:p>
    <w:p w:rsidR="00584782" w:rsidRDefault="003A4011">
      <w:pPr>
        <w:rPr>
          <w:rFonts w:asciiTheme="majorEastAsia" w:eastAsiaTheme="majorEastAsia" w:hAnsiTheme="majorEastAsia"/>
          <w:sz w:val="24"/>
        </w:rPr>
      </w:pPr>
      <w:r>
        <w:rPr>
          <w:rFonts w:hint="eastAsia"/>
          <w:noProof/>
        </w:rPr>
        <w:drawing>
          <wp:anchor distT="0" distB="0" distL="114300" distR="114300" simplePos="0" relativeHeight="22" behindDoc="0" locked="0" layoutInCell="1" hidden="0" allowOverlap="1">
            <wp:simplePos x="0" y="0"/>
            <wp:positionH relativeFrom="margin">
              <wp:posOffset>15875</wp:posOffset>
            </wp:positionH>
            <wp:positionV relativeFrom="paragraph">
              <wp:posOffset>37465</wp:posOffset>
            </wp:positionV>
            <wp:extent cx="6019800" cy="7572375"/>
            <wp:effectExtent l="0" t="0" r="0" b="0"/>
            <wp:wrapTopAndBottom/>
            <wp:docPr id="1026" name="Picture 4"/>
            <wp:cNvGraphicFramePr/>
            <a:graphic xmlns:a="http://schemas.openxmlformats.org/drawingml/2006/main">
              <a:graphicData uri="http://schemas.openxmlformats.org/drawingml/2006/picture">
                <pic:pic xmlns:pic="http://schemas.openxmlformats.org/drawingml/2006/picture">
                  <pic:nvPicPr>
                    <pic:cNvPr id="1026" name="Picture 4"/>
                    <pic:cNvPicPr>
                      <a:picLocks noChangeAspect="1" noChangeArrowheads="1"/>
                    </pic:cNvPicPr>
                  </pic:nvPicPr>
                  <pic:blipFill>
                    <a:blip r:embed="rId8"/>
                    <a:stretch>
                      <a:fillRect/>
                    </a:stretch>
                  </pic:blipFill>
                  <pic:spPr>
                    <a:xfrm>
                      <a:off x="0" y="0"/>
                      <a:ext cx="6019800" cy="7572375"/>
                    </a:xfrm>
                    <a:prstGeom prst="rect">
                      <a:avLst/>
                    </a:prstGeom>
                    <a:noFill/>
                    <a:ln>
                      <a:noFill/>
                    </a:ln>
                  </pic:spPr>
                </pic:pic>
              </a:graphicData>
            </a:graphic>
          </wp:anchor>
        </w:drawing>
      </w:r>
    </w:p>
    <w:p w:rsidR="00584782" w:rsidRDefault="00584782">
      <w:pPr>
        <w:rPr>
          <w:rFonts w:asciiTheme="majorEastAsia" w:eastAsiaTheme="majorEastAsia" w:hAnsiTheme="majorEastAsia"/>
          <w:sz w:val="24"/>
        </w:rPr>
      </w:pPr>
    </w:p>
    <w:p w:rsidR="00584782" w:rsidRDefault="00584782">
      <w:pPr>
        <w:rPr>
          <w:rFonts w:asciiTheme="majorEastAsia" w:eastAsiaTheme="majorEastAsia" w:hAnsiTheme="majorEastAsia"/>
          <w:sz w:val="24"/>
        </w:rPr>
      </w:pPr>
    </w:p>
    <w:p w:rsidR="00584782" w:rsidRDefault="00584782">
      <w:pPr>
        <w:rPr>
          <w:rFonts w:asciiTheme="majorEastAsia" w:eastAsiaTheme="majorEastAsia" w:hAnsiTheme="majorEastAsia"/>
          <w:sz w:val="24"/>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 xml:space="preserve">　特定健診・特定保健指導と国民健康づくり運動</w:t>
      </w:r>
    </w:p>
    <w:p w:rsidR="00584782" w:rsidRDefault="003A4011">
      <w:pPr>
        <w:jc w:val="center"/>
        <w:rPr>
          <w:rFonts w:ascii="ＭＳ Ｐゴシック" w:eastAsia="ＭＳ Ｐゴシック" w:hAnsi="ＭＳ Ｐゴシック"/>
          <w:sz w:val="16"/>
        </w:rPr>
      </w:pPr>
      <w:r>
        <w:rPr>
          <w:rFonts w:hint="eastAsia"/>
          <w:noProof/>
        </w:rPr>
        <w:drawing>
          <wp:inline distT="0" distB="0" distL="0" distR="0">
            <wp:extent cx="5850890" cy="3547745"/>
            <wp:effectExtent l="0" t="0" r="0" b="0"/>
            <wp:docPr id="1027" name="Picture 1"/>
            <wp:cNvGraphicFramePr/>
            <a:graphic xmlns:a="http://schemas.openxmlformats.org/drawingml/2006/main">
              <a:graphicData uri="http://schemas.openxmlformats.org/drawingml/2006/picture">
                <pic:pic xmlns:pic="http://schemas.openxmlformats.org/drawingml/2006/picture">
                  <pic:nvPicPr>
                    <pic:cNvPr id="1027" name="Picture 1"/>
                    <pic:cNvPicPr>
                      <a:picLocks noChangeAspect="1" noChangeArrowheads="1"/>
                    </pic:cNvPicPr>
                  </pic:nvPicPr>
                  <pic:blipFill>
                    <a:blip r:embed="rId9"/>
                    <a:stretch>
                      <a:fillRect/>
                    </a:stretch>
                  </pic:blipFill>
                  <pic:spPr>
                    <a:xfrm>
                      <a:off x="0" y="0"/>
                      <a:ext cx="5850890" cy="3547745"/>
                    </a:xfrm>
                    <a:prstGeom prst="rect">
                      <a:avLst/>
                    </a:prstGeom>
                    <a:noFill/>
                    <a:ln>
                      <a:noFill/>
                    </a:ln>
                  </pic:spPr>
                </pic:pic>
              </a:graphicData>
            </a:graphic>
          </wp:inline>
        </w:drawing>
      </w:r>
    </w:p>
    <w:p w:rsidR="00584782" w:rsidRDefault="003A4011">
      <w:pPr>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注）プログラムにおいては、保健指導により発症や重症化を予防でき、保健指導の成果を健診データ等の客観的標を用いて評価できるものを主な対象としている。データ分析を行い解決すべき課題や取組みが明確となり、分析に基づく取り組みを実施していくことは、健康寿命の延伸ひいては社会保障制度を持続可能なものとすることにつながる。</w:t>
      </w:r>
    </w:p>
    <w:p w:rsidR="00584782" w:rsidRDefault="00584782">
      <w:pPr>
        <w:spacing w:line="240" w:lineRule="exact"/>
        <w:rPr>
          <w:rFonts w:ascii="ＭＳ Ｐゴシック" w:eastAsia="ＭＳ Ｐゴシック" w:hAnsi="ＭＳ Ｐゴシック"/>
          <w:sz w:val="16"/>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 xml:space="preserve">　保健事業（健診・保健指導）の</w:t>
      </w:r>
      <w:r>
        <w:rPr>
          <w:rFonts w:ascii="ＭＳ Ｐゴシック" w:eastAsia="ＭＳ Ｐゴシック" w:hAnsi="ＭＳ Ｐゴシック" w:hint="eastAsia"/>
          <w:sz w:val="22"/>
        </w:rPr>
        <w:t>PDCA</w:t>
      </w:r>
      <w:r>
        <w:rPr>
          <w:rFonts w:ascii="ＭＳ Ｐゴシック" w:eastAsia="ＭＳ Ｐゴシック" w:hAnsi="ＭＳ Ｐゴシック" w:hint="eastAsia"/>
          <w:sz w:val="22"/>
        </w:rPr>
        <w:t>サイクル</w:t>
      </w:r>
      <w:r>
        <w:rPr>
          <w:rFonts w:asciiTheme="majorEastAsia" w:eastAsiaTheme="majorEastAsia" w:hAnsiTheme="majorEastAsia" w:hint="eastAsia"/>
          <w:sz w:val="24"/>
        </w:rPr>
        <w:t xml:space="preserve">　　　　　　　　　　　　　</w:t>
      </w:r>
    </w:p>
    <w:p w:rsidR="00584782" w:rsidRDefault="003A4011">
      <w:pPr>
        <w:jc w:val="center"/>
        <w:rPr>
          <w:rFonts w:asciiTheme="majorEastAsia" w:eastAsiaTheme="majorEastAsia" w:hAnsiTheme="majorEastAsia"/>
          <w:sz w:val="24"/>
        </w:rPr>
      </w:pPr>
      <w:r>
        <w:rPr>
          <w:rFonts w:hint="eastAsia"/>
          <w:noProof/>
        </w:rPr>
        <w:drawing>
          <wp:inline distT="0" distB="0" distL="0" distR="0">
            <wp:extent cx="5850890" cy="3239770"/>
            <wp:effectExtent l="0" t="0" r="0" b="0"/>
            <wp:docPr id="1028" name="Picture 2"/>
            <wp:cNvGraphicFramePr/>
            <a:graphic xmlns:a="http://schemas.openxmlformats.org/drawingml/2006/main">
              <a:graphicData uri="http://schemas.openxmlformats.org/drawingml/2006/picture">
                <pic:pic xmlns:pic="http://schemas.openxmlformats.org/drawingml/2006/picture">
                  <pic:nvPicPr>
                    <pic:cNvPr id="1028" name="Picture 2"/>
                    <pic:cNvPicPr>
                      <a:picLocks noChangeAspect="1" noChangeArrowheads="1"/>
                    </pic:cNvPicPr>
                  </pic:nvPicPr>
                  <pic:blipFill>
                    <a:blip r:embed="rId10"/>
                    <a:stretch>
                      <a:fillRect/>
                    </a:stretch>
                  </pic:blipFill>
                  <pic:spPr>
                    <a:xfrm>
                      <a:off x="0" y="0"/>
                      <a:ext cx="5850890" cy="3239770"/>
                    </a:xfrm>
                    <a:prstGeom prst="rect">
                      <a:avLst/>
                    </a:prstGeom>
                    <a:noFill/>
                    <a:ln>
                      <a:noFill/>
                    </a:ln>
                  </pic:spPr>
                </pic:pic>
              </a:graphicData>
            </a:graphic>
          </wp:inline>
        </w:drawing>
      </w:r>
    </w:p>
    <w:p w:rsidR="00584782" w:rsidRDefault="003A4011">
      <w:pPr>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注）生活習慣病の有病者や予備群の減少を目的に、優先すべき健康課題を明確化しながら</w:t>
      </w:r>
      <w:r>
        <w:rPr>
          <w:rFonts w:ascii="ＭＳ Ｐゴシック" w:eastAsia="ＭＳ Ｐゴシック" w:hAnsi="ＭＳ Ｐゴシック" w:hint="eastAsia"/>
          <w:sz w:val="16"/>
        </w:rPr>
        <w:t>PDCA</w:t>
      </w:r>
      <w:r>
        <w:rPr>
          <w:rFonts w:ascii="ＭＳ Ｐゴシック" w:eastAsia="ＭＳ Ｐゴシック" w:hAnsi="ＭＳ Ｐゴシック" w:hint="eastAsia"/>
          <w:sz w:val="16"/>
        </w:rPr>
        <w:t>（計画（Ｐｌａｎ）、</w:t>
      </w:r>
      <w:r>
        <w:rPr>
          <w:rFonts w:ascii="ＭＳ Ｐゴシック" w:eastAsia="ＭＳ Ｐゴシック" w:hAnsi="ＭＳ Ｐゴシック" w:hint="eastAsia"/>
          <w:sz w:val="16"/>
        </w:rPr>
        <w:t>実施（Ｄｏ）、評価（Ｃｈｅｃｋ）、改善（Ａｃｔｉｎ））サイクルを意識した保健事業を展開していくことが必要である。</w:t>
      </w:r>
    </w:p>
    <w:p w:rsidR="00584782" w:rsidRDefault="00584782">
      <w:pPr>
        <w:spacing w:line="240" w:lineRule="exact"/>
        <w:rPr>
          <w:rFonts w:ascii="ＭＳ Ｐゴシック" w:eastAsia="ＭＳ Ｐゴシック" w:hAnsi="ＭＳ Ｐゴシック"/>
          <w:sz w:val="16"/>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sz w:val="22"/>
        </w:rPr>
        <w:t>4</w:t>
      </w:r>
      <w:r>
        <w:rPr>
          <w:rFonts w:ascii="ＭＳ Ｐゴシック" w:eastAsia="ＭＳ Ｐゴシック" w:hAnsi="ＭＳ Ｐゴシック" w:hint="eastAsia"/>
          <w:sz w:val="22"/>
        </w:rPr>
        <w:t xml:space="preserve">　生活習慣病予防のための標準的な健診・保健指導計画の流れ（一部改変）</w:t>
      </w:r>
      <w:r>
        <w:rPr>
          <w:noProof/>
        </w:rPr>
        <w:drawing>
          <wp:inline distT="0" distB="0" distL="0" distR="0">
            <wp:extent cx="6172200" cy="8086725"/>
            <wp:effectExtent l="0" t="0" r="0" b="0"/>
            <wp:docPr id="1029" name="Picture 4"/>
            <wp:cNvGraphicFramePr/>
            <a:graphic xmlns:a="http://schemas.openxmlformats.org/drawingml/2006/main">
              <a:graphicData uri="http://schemas.openxmlformats.org/drawingml/2006/picture">
                <pic:pic xmlns:pic="http://schemas.openxmlformats.org/drawingml/2006/picture">
                  <pic:nvPicPr>
                    <pic:cNvPr id="1029" name="Picture 4"/>
                    <pic:cNvPicPr>
                      <a:picLocks noChangeAspect="1" noChangeArrowheads="1"/>
                    </pic:cNvPicPr>
                  </pic:nvPicPr>
                  <pic:blipFill>
                    <a:blip r:embed="rId11"/>
                    <a:stretch>
                      <a:fillRect/>
                    </a:stretch>
                  </pic:blipFill>
                  <pic:spPr>
                    <a:xfrm>
                      <a:off x="0" y="0"/>
                      <a:ext cx="6172200" cy="8086725"/>
                    </a:xfrm>
                    <a:prstGeom prst="rect">
                      <a:avLst/>
                    </a:prstGeom>
                    <a:noFill/>
                    <a:ln>
                      <a:noFill/>
                    </a:ln>
                  </pic:spPr>
                </pic:pic>
              </a:graphicData>
            </a:graphic>
          </wp:inline>
        </w:drawing>
      </w:r>
    </w:p>
    <w:p w:rsidR="00584782" w:rsidRDefault="003A4011">
      <w:pPr>
        <w:rPr>
          <w:rFonts w:ascii="ＭＳ Ｐゴシック" w:eastAsia="ＭＳ Ｐゴシック" w:hAnsi="ＭＳ Ｐゴシック"/>
          <w:sz w:val="16"/>
        </w:rPr>
      </w:pPr>
      <w:r>
        <w:rPr>
          <w:rFonts w:ascii="HGPｺﾞｼｯｸM" w:eastAsia="HGPｺﾞｼｯｸM" w:hAnsi="HGPｺﾞｼｯｸM" w:hint="eastAsia"/>
          <w:sz w:val="18"/>
        </w:rPr>
        <w:t>注</w:t>
      </w:r>
      <w:r>
        <w:rPr>
          <w:rFonts w:ascii="ＭＳ Ｐゴシック" w:eastAsia="ＭＳ Ｐゴシック" w:hAnsi="ＭＳ Ｐゴシック" w:hint="eastAsia"/>
          <w:sz w:val="16"/>
        </w:rPr>
        <w:t>）生活習慣病予防のための標準的な健診・保健指導計画の流れ</w:t>
      </w: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イメージ</w:t>
      </w: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を具体的な実践の流れでまとめたもの。</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sz w:val="22"/>
        </w:rPr>
        <w:t>5</w:t>
      </w:r>
      <w:r>
        <w:rPr>
          <w:rFonts w:ascii="ＭＳ Ｐゴシック" w:eastAsia="ＭＳ Ｐゴシック" w:hAnsi="ＭＳ Ｐゴシック" w:hint="eastAsia"/>
          <w:sz w:val="22"/>
        </w:rPr>
        <w:t xml:space="preserve">　標準的な健診・保健指導プログラム（</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年度版）における基本的な考え方（一部改変）</w:t>
      </w:r>
    </w:p>
    <w:p w:rsidR="00584782" w:rsidRDefault="003A4011">
      <w:pPr>
        <w:rPr>
          <w:rFonts w:ascii="ＭＳ Ｐゴシック" w:eastAsia="ＭＳ Ｐゴシック" w:hAnsi="ＭＳ Ｐゴシック"/>
          <w:sz w:val="24"/>
        </w:rPr>
      </w:pPr>
      <w:r>
        <w:rPr>
          <w:noProof/>
        </w:rPr>
        <w:drawing>
          <wp:inline distT="0" distB="0" distL="0" distR="0">
            <wp:extent cx="5850890" cy="3739515"/>
            <wp:effectExtent l="0" t="0" r="0" b="0"/>
            <wp:docPr id="1030" name="Picture 2"/>
            <wp:cNvGraphicFramePr/>
            <a:graphic xmlns:a="http://schemas.openxmlformats.org/drawingml/2006/main">
              <a:graphicData uri="http://schemas.openxmlformats.org/drawingml/2006/picture">
                <pic:pic xmlns:pic="http://schemas.openxmlformats.org/drawingml/2006/picture">
                  <pic:nvPicPr>
                    <pic:cNvPr id="1030" name="Picture 2"/>
                    <pic:cNvPicPr>
                      <a:picLocks noChangeAspect="1" noChangeArrowheads="1"/>
                    </pic:cNvPicPr>
                  </pic:nvPicPr>
                  <pic:blipFill>
                    <a:blip r:embed="rId12"/>
                    <a:stretch>
                      <a:fillRect/>
                    </a:stretch>
                  </pic:blipFill>
                  <pic:spPr>
                    <a:xfrm>
                      <a:off x="0" y="0"/>
                      <a:ext cx="5850890" cy="3739515"/>
                    </a:xfrm>
                    <a:prstGeom prst="rect">
                      <a:avLst/>
                    </a:prstGeom>
                    <a:noFill/>
                    <a:ln>
                      <a:noFill/>
                    </a:ln>
                  </pic:spPr>
                </pic:pic>
              </a:graphicData>
            </a:graphic>
          </wp:inline>
        </w:drawing>
      </w:r>
    </w:p>
    <w:p w:rsidR="00584782" w:rsidRDefault="003A4011">
      <w:pPr>
        <w:snapToGrid w:val="0"/>
        <w:spacing w:before="100" w:beforeAutospacing="1" w:line="240" w:lineRule="exact"/>
        <w:ind w:leftChars="50" w:left="105"/>
        <w:contextualSpacing/>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注）内臓脂肪の蓄積に着目した生活習慣病予防のための健診・保健指導の基本的な考えを整理。　　　　　　　</w:t>
      </w:r>
    </w:p>
    <w:p w:rsidR="00584782" w:rsidRDefault="003A4011">
      <w:pPr>
        <w:spacing w:line="240" w:lineRule="exact"/>
        <w:ind w:firstLineChars="200" w:firstLine="320"/>
        <w:rPr>
          <w:rFonts w:ascii="ＭＳ Ｐゴシック" w:eastAsia="ＭＳ Ｐゴシック" w:hAnsi="ＭＳ Ｐゴシック"/>
          <w:sz w:val="22"/>
        </w:rPr>
      </w:pP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令和６年度版のプログラムからは削除されたが、基本的な考え方であるため参考までに掲示</w:t>
      </w:r>
      <w:r>
        <w:rPr>
          <w:rFonts w:ascii="ＭＳ Ｐゴシック" w:eastAsia="ＭＳ Ｐゴシック" w:hAnsi="ＭＳ Ｐゴシック" w:hint="eastAsia"/>
          <w:sz w:val="16"/>
        </w:rPr>
        <w:t>)</w:t>
      </w: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b/>
          <w:sz w:val="28"/>
        </w:rPr>
      </w:pPr>
      <w:r>
        <w:rPr>
          <w:rFonts w:ascii="ＭＳ Ｐゴシック" w:eastAsia="ＭＳ Ｐゴシック" w:hAnsi="ＭＳ Ｐゴシック" w:hint="eastAsia"/>
          <w:b/>
          <w:sz w:val="28"/>
        </w:rPr>
        <w:t>３．計画期間</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この計画の期間は、令和</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年度から令和</w:t>
      </w:r>
      <w:r>
        <w:rPr>
          <w:rFonts w:ascii="ＭＳ Ｐゴシック" w:eastAsia="ＭＳ Ｐゴシック" w:hAnsi="ＭＳ Ｐゴシック" w:hint="eastAsia"/>
          <w:sz w:val="22"/>
        </w:rPr>
        <w:t>11</w:t>
      </w:r>
      <w:r>
        <w:rPr>
          <w:rFonts w:ascii="ＭＳ Ｐゴシック" w:eastAsia="ＭＳ Ｐゴシック" w:hAnsi="ＭＳ Ｐゴシック" w:hint="eastAsia"/>
          <w:sz w:val="22"/>
        </w:rPr>
        <w:t>年度までの</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年間とします。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＜参考＞計画期間の根拠について</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データヘルス計画の期間については、国指針第</w:t>
      </w:r>
      <w:r>
        <w:rPr>
          <w:rFonts w:ascii="ＭＳ Ｐゴシック" w:eastAsia="ＭＳ Ｐゴシック" w:hAnsi="ＭＳ Ｐゴシック" w:hint="eastAsia"/>
          <w:sz w:val="22"/>
        </w:rPr>
        <w:t>5</w:t>
      </w:r>
      <w:r>
        <w:rPr>
          <w:rFonts w:ascii="ＭＳ Ｐゴシック" w:eastAsia="ＭＳ Ｐゴシック" w:hAnsi="ＭＳ Ｐゴシック" w:hint="eastAsia"/>
          <w:sz w:val="22"/>
        </w:rPr>
        <w:t>の</w:t>
      </w:r>
      <w:r>
        <w:rPr>
          <w:rFonts w:ascii="ＭＳ Ｐゴシック" w:eastAsia="ＭＳ Ｐゴシック" w:hAnsi="ＭＳ Ｐゴシック" w:hint="eastAsia"/>
          <w:sz w:val="22"/>
        </w:rPr>
        <w:t>5</w:t>
      </w:r>
      <w:r>
        <w:rPr>
          <w:rFonts w:ascii="ＭＳ Ｐゴシック" w:eastAsia="ＭＳ Ｐゴシック" w:hAnsi="ＭＳ Ｐゴシック" w:hint="eastAsia"/>
          <w:sz w:val="22"/>
        </w:rPr>
        <w:t>において、「特定健康診査等実施計画や健康増進計画との整合性を踏まえ、複数年とすること」とされています。また、国民健康保険事業の実施計画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データヘルス計画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策定の手引きにおいて、他の保健医療関係の法定計画との整合性を考慮するとしており、特定健康診査等実施計画、医療費適正化計画や医療計画とが</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年を一期としていることから、これらとの整合性を踏まえて設定しています。</w:t>
      </w: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b/>
          <w:sz w:val="28"/>
        </w:rPr>
      </w:pPr>
      <w:r>
        <w:rPr>
          <w:rFonts w:ascii="ＭＳ Ｐゴシック" w:eastAsia="ＭＳ Ｐゴシック" w:hAnsi="ＭＳ Ｐゴシック" w:hint="eastAsia"/>
          <w:b/>
          <w:sz w:val="28"/>
        </w:rPr>
        <w:t>４．関係者が果たすべき役割と連携</w:t>
      </w:r>
    </w:p>
    <w:p w:rsidR="00584782" w:rsidRDefault="003A4011">
      <w:pPr>
        <w:pStyle w:val="a3"/>
        <w:numPr>
          <w:ilvl w:val="0"/>
          <w:numId w:val="2"/>
        </w:numPr>
        <w:ind w:leftChars="0"/>
        <w:rPr>
          <w:rFonts w:ascii="ＭＳ Ｐゴシック" w:eastAsia="ＭＳ Ｐゴシック" w:hAnsi="ＭＳ Ｐゴシック"/>
          <w:sz w:val="24"/>
        </w:rPr>
      </w:pPr>
      <w:r>
        <w:rPr>
          <w:rFonts w:ascii="ＭＳ Ｐゴシック" w:eastAsia="ＭＳ Ｐゴシック" w:hAnsi="ＭＳ Ｐゴシック" w:hint="eastAsia"/>
          <w:sz w:val="22"/>
        </w:rPr>
        <w:t>市町村国保の役割</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本計画は、被保険者の健康の保持増進を図り、保健事業の積極的な推進を図るために、保健衛生部局が中心となって、住民の健康の保持増進に関係する部局に協力を求め、保険者の健康課題を分析し、市町村一体となって策定等を進めます。また計画に基づき、効果的・効率的な</w:t>
      </w:r>
      <w:r>
        <w:rPr>
          <w:rFonts w:ascii="ＭＳ Ｐゴシック" w:eastAsia="ＭＳ Ｐゴシック" w:hAnsi="ＭＳ Ｐゴシック" w:hint="eastAsia"/>
          <w:sz w:val="22"/>
        </w:rPr>
        <w:t>保健事業を実施して、個別の保健事業の評価や計画の評価をし、必要に応じて、計画の見直しや次期計画に反映させます。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具体的には、</w:t>
      </w:r>
      <w:r>
        <w:rPr>
          <w:rFonts w:ascii="ＭＳ Ｐゴシック" w:eastAsia="ＭＳ Ｐゴシック" w:hAnsi="ＭＳ Ｐゴシック" w:hint="eastAsia"/>
          <w:sz w:val="22"/>
        </w:rPr>
        <w:t>国保部局・保健衛生部局（健康づくり推進課）、介護保険部局（福祉課・地域包括支援セ</w:t>
      </w:r>
      <w:r>
        <w:rPr>
          <w:rFonts w:ascii="ＭＳ Ｐゴシック" w:eastAsia="ＭＳ Ｐゴシック" w:hAnsi="ＭＳ Ｐゴシック" w:hint="eastAsia"/>
          <w:sz w:val="22"/>
        </w:rPr>
        <w:lastRenderedPageBreak/>
        <w:t>ンター）、企画部局（総務課・財政班）</w:t>
      </w:r>
      <w:r>
        <w:rPr>
          <w:rFonts w:ascii="ＭＳ Ｐゴシック" w:eastAsia="ＭＳ Ｐゴシック" w:hAnsi="ＭＳ Ｐゴシック" w:hint="eastAsia"/>
          <w:sz w:val="22"/>
        </w:rPr>
        <w:t>とも十分連携を図ることとします。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さらに、計画期間を通じて</w:t>
      </w:r>
      <w:r>
        <w:rPr>
          <w:rFonts w:ascii="ＭＳ Ｐゴシック" w:eastAsia="ＭＳ Ｐゴシック" w:hAnsi="ＭＳ Ｐゴシック" w:hint="eastAsia"/>
          <w:sz w:val="22"/>
        </w:rPr>
        <w:t>PDCA</w:t>
      </w:r>
      <w:r>
        <w:rPr>
          <w:rFonts w:ascii="ＭＳ Ｐゴシック" w:eastAsia="ＭＳ Ｐゴシック" w:hAnsi="ＭＳ Ｐゴシック" w:hint="eastAsia"/>
          <w:sz w:val="22"/>
        </w:rPr>
        <w:t>サイクルに沿った確実な計画運用ができるよう、担当者・チームの業務をマニュアル化する等により、担当者が異動する際には経過等を含めて確実に引継ぎを行う等の体制を整えます。　（図表</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7</w:t>
      </w:r>
      <w:r>
        <w:rPr>
          <w:rFonts w:ascii="ＭＳ Ｐゴシック" w:eastAsia="ＭＳ Ｐゴシック" w:hAnsi="ＭＳ Ｐゴシック" w:hint="eastAsia"/>
          <w:sz w:val="22"/>
        </w:rPr>
        <w:t>）</w:t>
      </w:r>
    </w:p>
    <w:p w:rsidR="00584782" w:rsidRDefault="00584782">
      <w:pPr>
        <w:ind w:firstLineChars="100" w:firstLine="220"/>
        <w:rPr>
          <w:rFonts w:ascii="HGPｺﾞｼｯｸM" w:eastAsia="HGPｺﾞｼｯｸM" w:hAnsi="HGPｺﾞｼｯｸM"/>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6</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本部町</w:t>
      </w:r>
      <w:r>
        <w:rPr>
          <w:rFonts w:ascii="ＭＳ Ｐゴシック" w:eastAsia="ＭＳ Ｐゴシック" w:hAnsi="ＭＳ Ｐゴシック" w:hint="eastAsia"/>
          <w:sz w:val="22"/>
        </w:rPr>
        <w:t>の実施</w:t>
      </w:r>
      <w:r>
        <w:rPr>
          <w:rFonts w:ascii="ＭＳ Ｐゴシック" w:eastAsia="ＭＳ Ｐゴシック" w:hAnsi="ＭＳ Ｐゴシック" w:hint="eastAsia"/>
          <w:sz w:val="22"/>
        </w:rPr>
        <w:t>体制図</w:t>
      </w:r>
    </w:p>
    <w:p w:rsidR="00584782" w:rsidRDefault="003A4011">
      <w:pPr>
        <w:rPr>
          <w:rFonts w:ascii="HGSｺﾞｼｯｸM" w:eastAsia="HGSｺﾞｼｯｸM" w:hAnsi="HGSｺﾞｼｯｸM"/>
          <w:sz w:val="22"/>
        </w:rPr>
      </w:pPr>
      <w:r>
        <w:rPr>
          <w:rFonts w:hint="eastAsia"/>
          <w:noProof/>
        </w:rPr>
        <w:drawing>
          <wp:inline distT="0" distB="0" distL="203200" distR="203200">
            <wp:extent cx="6087745" cy="3589020"/>
            <wp:effectExtent l="0" t="0" r="0" b="0"/>
            <wp:docPr id="1031" name="オブジェクト 0"/>
            <wp:cNvGraphicFramePr/>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3"/>
                    <a:stretch>
                      <a:fillRect/>
                    </a:stretch>
                  </pic:blipFill>
                  <pic:spPr>
                    <a:xfrm>
                      <a:off x="0" y="0"/>
                      <a:ext cx="6087745" cy="3589020"/>
                    </a:xfrm>
                    <a:prstGeom prst="rect">
                      <a:avLst/>
                    </a:prstGeom>
                  </pic:spPr>
                </pic:pic>
              </a:graphicData>
            </a:graphic>
          </wp:inline>
        </w:drawing>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7</w:t>
      </w:r>
      <w:r>
        <w:rPr>
          <w:rFonts w:ascii="ＭＳ Ｐゴシック" w:eastAsia="ＭＳ Ｐゴシック" w:hAnsi="ＭＳ Ｐゴシック" w:hint="eastAsia"/>
          <w:sz w:val="22"/>
        </w:rPr>
        <w:t xml:space="preserve">　保健事業体制と主な保健事業の分担</w:t>
      </w:r>
    </w:p>
    <w:p w:rsidR="00584782" w:rsidRDefault="003A4011">
      <w:pPr>
        <w:rPr>
          <w:rFonts w:ascii="ＭＳ Ｐゴシック" w:eastAsia="ＭＳ Ｐゴシック" w:hAnsi="ＭＳ Ｐゴシック"/>
          <w:color w:val="FF0000"/>
          <w:sz w:val="18"/>
        </w:rPr>
      </w:pPr>
      <w:r>
        <w:rPr>
          <w:rFonts w:hint="eastAsia"/>
          <w:noProof/>
        </w:rPr>
        <w:drawing>
          <wp:inline distT="0" distB="0" distL="203200" distR="203200">
            <wp:extent cx="5849620" cy="2339975"/>
            <wp:effectExtent l="0" t="0" r="0" b="0"/>
            <wp:docPr id="1032" name="オブジェクト 0"/>
            <wp:cNvGraphicFramePr/>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4"/>
                    <a:stretch>
                      <a:fillRect/>
                    </a:stretch>
                  </pic:blipFill>
                  <pic:spPr>
                    <a:xfrm>
                      <a:off x="0" y="0"/>
                      <a:ext cx="5849620" cy="2339975"/>
                    </a:xfrm>
                    <a:prstGeom prst="rect">
                      <a:avLst/>
                    </a:prstGeom>
                  </pic:spPr>
                </pic:pic>
              </a:graphicData>
            </a:graphic>
          </wp:inline>
        </w:drawing>
      </w:r>
    </w:p>
    <w:p w:rsidR="00584782" w:rsidRDefault="00584782">
      <w:pPr>
        <w:rPr>
          <w:rFonts w:ascii="ＭＳ Ｐゴシック" w:eastAsia="ＭＳ Ｐゴシック" w:hAnsi="ＭＳ Ｐゴシック"/>
          <w:color w:val="FF0000"/>
          <w:sz w:val="18"/>
        </w:rPr>
      </w:pPr>
    </w:p>
    <w:p w:rsidR="00584782" w:rsidRDefault="003A4011">
      <w:pPr>
        <w:pStyle w:val="a3"/>
        <w:numPr>
          <w:ilvl w:val="0"/>
          <w:numId w:val="2"/>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関係機関との連携</w:t>
      </w:r>
    </w:p>
    <w:p w:rsidR="00584782" w:rsidRDefault="003A4011">
      <w:pPr>
        <w:pStyle w:val="a3"/>
        <w:ind w:leftChars="0" w:left="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計画の実効性を高めるには、計画の策定等において関係機関および外部有識者等との連携・協力が重要となります。</w:t>
      </w:r>
    </w:p>
    <w:p w:rsidR="00584782" w:rsidRDefault="003A4011">
      <w:pPr>
        <w:pStyle w:val="a3"/>
        <w:ind w:leftChars="0" w:left="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計画の策定等を進めるにあたって、沖縄県国民健康保険団体連合会（以下「国保連合会」という。）及</w:t>
      </w:r>
      <w:r>
        <w:rPr>
          <w:rFonts w:ascii="ＭＳ Ｐゴシック" w:eastAsia="ＭＳ Ｐゴシック" w:hAnsi="ＭＳ Ｐゴシック" w:hint="eastAsia"/>
          <w:sz w:val="22"/>
        </w:rPr>
        <w:lastRenderedPageBreak/>
        <w:t>び国保連合会に設置される保健事業支援・評価委員会、地域の医療機関等と連携し、幅広い専門的知見からの助言を基に計画策定を行います。</w:t>
      </w:r>
    </w:p>
    <w:p w:rsidR="00584782" w:rsidRDefault="003A4011">
      <w:pPr>
        <w:pStyle w:val="a3"/>
        <w:ind w:leftChars="0" w:left="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市町村国保は、退職や転職等に伴う被用者保険からの加入者が多いことを踏まえ、保険者協議会等活用して、市町村国保と被用者保険の保険者との間で、健康・医療情報の分析結果、健康課題、保険者事業の実施状況等を共有したり、保険者間で連携して保健事業を展開したりすることに努めていきます。</w:t>
      </w:r>
    </w:p>
    <w:p w:rsidR="00584782" w:rsidRDefault="00584782">
      <w:pPr>
        <w:rPr>
          <w:rFonts w:ascii="ＭＳ Ｐゴシック" w:eastAsia="ＭＳ Ｐゴシック" w:hAnsi="ＭＳ Ｐゴシック"/>
          <w:sz w:val="22"/>
        </w:rPr>
      </w:pPr>
    </w:p>
    <w:p w:rsidR="00584782" w:rsidRDefault="003A4011">
      <w:pPr>
        <w:pStyle w:val="a3"/>
        <w:numPr>
          <w:ilvl w:val="0"/>
          <w:numId w:val="2"/>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被保険者の役割</w:t>
      </w:r>
    </w:p>
    <w:p w:rsidR="00584782" w:rsidRDefault="003A4011">
      <w:pPr>
        <w:ind w:firstLineChars="100" w:firstLine="210"/>
        <w:rPr>
          <w:rFonts w:ascii="ＭＳ Ｐゴシック" w:eastAsia="ＭＳ Ｐゴシック" w:hAnsi="ＭＳ Ｐゴシック"/>
          <w:sz w:val="22"/>
        </w:rPr>
      </w:pPr>
      <w:r>
        <w:rPr>
          <w:rFonts w:ascii="ＭＳ Ｐゴシック" w:eastAsia="ＭＳ Ｐゴシック" w:hAnsi="ＭＳ Ｐゴシック" w:hint="eastAsia"/>
        </w:rPr>
        <w:t>本計画の最終的な目的は</w:t>
      </w:r>
      <w:r>
        <w:rPr>
          <w:rFonts w:ascii="ＭＳ Ｐゴシック" w:eastAsia="ＭＳ Ｐゴシック" w:hAnsi="ＭＳ Ｐゴシック" w:hint="eastAsia"/>
          <w:sz w:val="22"/>
        </w:rPr>
        <w:t>、被保険者の健康の保持増進にあることから、その実効性を高める上で、被保険者自身が健康の保持増進が大切であることを理解して、主体的、積極的に取り組むことが重要です。そのため、計画策定にあたっては、</w:t>
      </w:r>
      <w:r>
        <w:rPr>
          <w:rFonts w:ascii="ＭＳ Ｐゴシック" w:eastAsia="ＭＳ Ｐゴシック" w:hAnsi="ＭＳ Ｐゴシック" w:hint="eastAsia"/>
          <w:sz w:val="22"/>
        </w:rPr>
        <w:t>国保運営協議会の委員として、被保険者から参画を得て、意見交換等を行ってきました。</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b/>
          <w:sz w:val="28"/>
        </w:rPr>
      </w:pPr>
      <w:r>
        <w:rPr>
          <w:rFonts w:ascii="ＭＳ Ｐゴシック" w:eastAsia="ＭＳ Ｐゴシック" w:hAnsi="ＭＳ Ｐゴシック" w:hint="eastAsia"/>
          <w:b/>
          <w:sz w:val="28"/>
        </w:rPr>
        <w:t>５．保険者努力支援制度</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国民健康保険の保険者努力支援制度は、保険者における医療費適正化に向けた取組等に対する支援を行うため、保険者の取組状況に応じて交付金を交付する制度として平成</w:t>
      </w:r>
      <w:r>
        <w:rPr>
          <w:rFonts w:ascii="ＭＳ Ｐゴシック" w:eastAsia="ＭＳ Ｐゴシック" w:hAnsi="ＭＳ Ｐゴシック" w:hint="eastAsia"/>
          <w:sz w:val="22"/>
        </w:rPr>
        <w:t>30</w:t>
      </w:r>
      <w:r>
        <w:rPr>
          <w:rFonts w:ascii="ＭＳ Ｐゴシック" w:eastAsia="ＭＳ Ｐゴシック" w:hAnsi="ＭＳ Ｐゴシック" w:hint="eastAsia"/>
          <w:sz w:val="22"/>
        </w:rPr>
        <w:t>年度より本格的に実施されています。</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図表８</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令和</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年度からは、予防・健康づくり事業の「事業費」に連動して配分する部分と合わせて交付することにより、保険者における予防・健康づくり事業の取組みを後押しする</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事業費分・事業費連動分</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保険者努力支援制度</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事業費分</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では、計画に基づく保健事業の実施及び計画策定に係る費用の一部に対して助成しており、また都道府県は、交付金</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事業費連動分</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を保険給付費に充当することができ、結果として被保険者の保険料負担の軽減及び国保財政の安定化に寄与することにもつながるため、今後も本制度等の積極的かつ効果的・効率的な活用が期待されています。</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hint="eastAsia"/>
          <w:sz w:val="22"/>
        </w:rPr>
        <w:t>8</w:t>
      </w:r>
      <w:r>
        <w:rPr>
          <w:rFonts w:ascii="ＭＳ Ｐゴシック" w:eastAsia="ＭＳ Ｐゴシック" w:hAnsi="ＭＳ Ｐゴシック" w:hint="eastAsia"/>
          <w:sz w:val="22"/>
        </w:rPr>
        <w:t xml:space="preserve">　保険者努力支援制度評価指標（市町村分）</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7425" cy="6463030"/>
            <wp:effectExtent l="0" t="0" r="0" b="0"/>
            <wp:docPr id="1033" name="オブジェクト 0"/>
            <wp:cNvGraphicFramePr/>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5"/>
                    <a:stretch>
                      <a:fillRect/>
                    </a:stretch>
                  </pic:blipFill>
                  <pic:spPr>
                    <a:xfrm>
                      <a:off x="0" y="0"/>
                      <a:ext cx="6067425" cy="6463030"/>
                    </a:xfrm>
                    <a:prstGeom prst="rect">
                      <a:avLst/>
                    </a:prstGeom>
                  </pic:spPr>
                </pic:pic>
              </a:graphicData>
            </a:graphic>
          </wp:inline>
        </w:drawing>
      </w:r>
    </w:p>
    <w:p w:rsidR="00584782" w:rsidRDefault="003A4011">
      <w:pPr>
        <w:rPr>
          <w:rFonts w:ascii="ＭＳ Ｐゴシック" w:eastAsia="ＭＳ Ｐゴシック" w:hAnsi="ＭＳ Ｐゴシック"/>
          <w:sz w:val="22"/>
        </w:rPr>
      </w:pPr>
      <w:r>
        <w:rPr>
          <w:noProof/>
        </w:rPr>
        <mc:AlternateContent>
          <mc:Choice Requires="wps">
            <w:drawing>
              <wp:anchor distT="0" distB="0" distL="114300" distR="114300" simplePos="0" relativeHeight="34" behindDoc="0" locked="0" layoutInCell="1" hidden="0" allowOverlap="1">
                <wp:simplePos x="0" y="0"/>
                <wp:positionH relativeFrom="column">
                  <wp:posOffset>4139565</wp:posOffset>
                </wp:positionH>
                <wp:positionV relativeFrom="paragraph">
                  <wp:posOffset>5897245</wp:posOffset>
                </wp:positionV>
                <wp:extent cx="914400" cy="208280"/>
                <wp:effectExtent l="0" t="0" r="635" b="635"/>
                <wp:wrapNone/>
                <wp:docPr id="1034" name="テキスト ボックス 1598213635"/>
                <wp:cNvGraphicFramePr/>
                <a:graphic xmlns:a="http://schemas.openxmlformats.org/drawingml/2006/main">
                  <a:graphicData uri="http://schemas.microsoft.com/office/word/2010/wordprocessingShape">
                    <wps:wsp>
                      <wps:cNvSpPr txBox="1"/>
                      <wps:spPr>
                        <a:xfrm>
                          <a:off x="0" y="0"/>
                          <a:ext cx="914400" cy="20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782" w:rsidRDefault="003A4011">
                            <w:pPr>
                              <w:jc w:val="center"/>
                              <w:rPr>
                                <w:rFonts w:ascii="ＭＳ Ｐゴシック" w:eastAsia="ＭＳ Ｐゴシック" w:hAnsi="ＭＳ Ｐゴシック"/>
                                <w:b/>
                                <w:color w:val="C00000"/>
                                <w:sz w:val="22"/>
                              </w:rPr>
                            </w:pPr>
                            <w:r>
                              <w:rPr>
                                <w:rFonts w:ascii="ＭＳ Ｐゴシック" w:eastAsia="ＭＳ Ｐゴシック" w:hAnsi="ＭＳ Ｐゴシック"/>
                                <w:b/>
                                <w:color w:val="C00000"/>
                                <w:sz w:val="22"/>
                              </w:rPr>
                              <w:t>40</w:t>
                            </w:r>
                          </w:p>
                        </w:txbxContent>
                      </wps:txbx>
                      <wps:bodyPr rot="0" vertOverflow="overflow" horzOverflow="overflow" wrap="none" lIns="0" tIns="0" rIns="0" bIns="0"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1598213635" style="mso-position-vertical-relative:text;z-index:34;mso-wrap-distance-left:9pt;width:72pt;height:16.39pt;mso-position-horizontal-relative:text;position:absolute;margin-left:325.95pt;margin-top:464.35pt;mso-wrap-distance-bottom:0pt;mso-wrap-distance-right:9pt;mso-wrap-distance-top:0pt;v-text-anchor:middle;mso-wrap-style:none;" o:spid="_x0000_s1034" o:allowincell="t" o:allowoverlap="t" filled="f" stroked="f" strokeweight="0.5pt" o:spt="202" type="#_x0000_t202">
                <v:fill/>
                <v:textbox style="layout-flow:horizontal;" inset="0mm,0mm,0mm,0mm">
                  <w:txbxContent>
                    <w:p>
                      <w:pPr>
                        <w:pStyle w:val="0"/>
                        <w:jc w:val="center"/>
                        <w:rPr>
                          <w:rFonts w:hint="default" w:ascii="ＭＳ Ｐゴシック" w:hAnsi="ＭＳ Ｐゴシック" w:eastAsia="ＭＳ Ｐゴシック"/>
                          <w:b w:val="1"/>
                          <w:color w:val="C00000"/>
                          <w:sz w:val="22"/>
                        </w:rPr>
                      </w:pPr>
                      <w:r>
                        <w:rPr>
                          <w:rFonts w:hint="default" w:ascii="ＭＳ Ｐゴシック" w:hAnsi="ＭＳ Ｐゴシック" w:eastAsia="ＭＳ Ｐゴシック"/>
                          <w:b w:val="1"/>
                          <w:color w:val="C00000"/>
                          <w:sz w:val="22"/>
                        </w:rPr>
                        <w:t>40</w:t>
                      </w:r>
                    </w:p>
                  </w:txbxContent>
                </v:textbox>
                <v:imagedata o:title=""/>
                <w10:wrap type="none" anchorx="text" anchory="text"/>
              </v:shape>
            </w:pict>
          </mc:Fallback>
        </mc:AlternateContent>
      </w:r>
      <w:r>
        <w:rPr>
          <w:noProof/>
        </w:rPr>
        <mc:AlternateContent>
          <mc:Choice Requires="wps">
            <w:drawing>
              <wp:anchor distT="0" distB="0" distL="114300" distR="114300" simplePos="0" relativeHeight="33" behindDoc="0" locked="0" layoutInCell="1" hidden="0" allowOverlap="1">
                <wp:simplePos x="0" y="0"/>
                <wp:positionH relativeFrom="column">
                  <wp:posOffset>4139565</wp:posOffset>
                </wp:positionH>
                <wp:positionV relativeFrom="paragraph">
                  <wp:posOffset>3787775</wp:posOffset>
                </wp:positionV>
                <wp:extent cx="914400" cy="208280"/>
                <wp:effectExtent l="0" t="0" r="635" b="635"/>
                <wp:wrapNone/>
                <wp:docPr id="1035" name="テキスト ボックス 1598213634"/>
                <wp:cNvGraphicFramePr/>
                <a:graphic xmlns:a="http://schemas.openxmlformats.org/drawingml/2006/main">
                  <a:graphicData uri="http://schemas.microsoft.com/office/word/2010/wordprocessingShape">
                    <wps:wsp>
                      <wps:cNvSpPr txBox="1"/>
                      <wps:spPr>
                        <a:xfrm>
                          <a:off x="0" y="0"/>
                          <a:ext cx="914400" cy="20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782" w:rsidRDefault="003A4011">
                            <w:pPr>
                              <w:jc w:val="center"/>
                              <w:rPr>
                                <w:rFonts w:ascii="ＭＳ Ｐゴシック" w:eastAsia="ＭＳ Ｐゴシック" w:hAnsi="ＭＳ Ｐゴシック"/>
                                <w:b/>
                                <w:color w:val="C00000"/>
                                <w:sz w:val="22"/>
                              </w:rPr>
                            </w:pPr>
                            <w:r>
                              <w:rPr>
                                <w:rFonts w:ascii="ＭＳ Ｐゴシック" w:eastAsia="ＭＳ Ｐゴシック" w:hAnsi="ＭＳ Ｐゴシック"/>
                                <w:b/>
                                <w:color w:val="C00000"/>
                                <w:sz w:val="22"/>
                              </w:rPr>
                              <w:t>15</w:t>
                            </w:r>
                          </w:p>
                        </w:txbxContent>
                      </wps:txbx>
                      <wps:bodyPr rot="0" vertOverflow="overflow" horzOverflow="overflow" wrap="none" lIns="0" tIns="0" rIns="0" bIns="0"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1598213634" style="mso-position-vertical-relative:text;z-index:33;mso-wrap-distance-left:9pt;width:72pt;height:16.39pt;mso-position-horizontal-relative:text;position:absolute;margin-left:325.95pt;margin-top:298.25pt;mso-wrap-distance-bottom:0pt;mso-wrap-distance-right:9pt;mso-wrap-distance-top:0pt;v-text-anchor:middle;mso-wrap-style:none;" o:spid="_x0000_s1035" o:allowincell="t" o:allowoverlap="t" filled="f" stroked="f" strokeweight="0.5pt" o:spt="202" type="#_x0000_t202">
                <v:fill/>
                <v:textbox style="layout-flow:horizontal;" inset="0mm,0mm,0mm,0mm">
                  <w:txbxContent>
                    <w:p>
                      <w:pPr>
                        <w:pStyle w:val="0"/>
                        <w:jc w:val="center"/>
                        <w:rPr>
                          <w:rFonts w:hint="default" w:ascii="ＭＳ Ｐゴシック" w:hAnsi="ＭＳ Ｐゴシック" w:eastAsia="ＭＳ Ｐゴシック"/>
                          <w:b w:val="1"/>
                          <w:color w:val="C00000"/>
                          <w:sz w:val="22"/>
                        </w:rPr>
                      </w:pPr>
                      <w:r>
                        <w:rPr>
                          <w:rFonts w:hint="default" w:ascii="ＭＳ Ｐゴシック" w:hAnsi="ＭＳ Ｐゴシック" w:eastAsia="ＭＳ Ｐゴシック"/>
                          <w:b w:val="1"/>
                          <w:color w:val="C00000"/>
                          <w:sz w:val="22"/>
                        </w:rPr>
                        <w:t>15</w:t>
                      </w:r>
                    </w:p>
                  </w:txbxContent>
                </v:textbox>
                <v:imagedata o:title=""/>
                <w10:wrap type="none" anchorx="text" anchory="text"/>
              </v:shape>
            </w:pict>
          </mc:Fallback>
        </mc:AlternateContent>
      </w:r>
      <w:r>
        <w:rPr>
          <w:noProof/>
        </w:rPr>
        <mc:AlternateContent>
          <mc:Choice Requires="wps">
            <w:drawing>
              <wp:anchor distT="0" distB="0" distL="114300" distR="114300" simplePos="0" relativeHeight="32" behindDoc="0" locked="0" layoutInCell="1" hidden="0" allowOverlap="1">
                <wp:simplePos x="0" y="0"/>
                <wp:positionH relativeFrom="column">
                  <wp:posOffset>4320540</wp:posOffset>
                </wp:positionH>
                <wp:positionV relativeFrom="paragraph">
                  <wp:posOffset>6007100</wp:posOffset>
                </wp:positionV>
                <wp:extent cx="215900" cy="0"/>
                <wp:effectExtent l="0" t="635" r="29210" b="10160"/>
                <wp:wrapNone/>
                <wp:docPr id="1036" name="直線コネクタ 29"/>
                <wp:cNvGraphicFramePr/>
                <a:graphic xmlns:a="http://schemas.openxmlformats.org/drawingml/2006/main">
                  <a:graphicData uri="http://schemas.microsoft.com/office/word/2010/wordprocessingShape">
                    <wps:wsp>
                      <wps:cNvCnPr/>
                      <wps:spPr>
                        <a:xfrm>
                          <a:off x="0" y="0"/>
                          <a:ext cx="215900" cy="0"/>
                        </a:xfrm>
                        <a:prstGeom prst="line">
                          <a:avLst/>
                        </a:prstGeom>
                        <a:ln w="19050" cmpd="dbl">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line id="直線コネクタ 29" style="mso-wrap-distance-top:0pt;mso-position-vertical-relative:text;z-index:32;mso-position-horizontal-relative:text;position:absolute;mso-wrap-distance-bottom:0pt;mso-wrap-distance-left:9pt;mso-wrap-distance-right:9pt;" o:spid="_x0000_s1036" o:allowincell="t" o:allowoverlap="t" filled="f" stroked="t" strokecolor="#c00000" strokeweight="1.5pt" o:spt="20" from="340.20000000000005pt,473pt" to="357.20000000000005pt,473pt">
                <v:fill/>
                <v:stroke linestyle="thinThin" miterlimit="8" endcap="flat" dashstyle="solid" filltype="solid"/>
                <v:textbox style="layout-flow:horizontal;"/>
                <v:imagedata o:title=""/>
                <w10:wrap type="none" anchorx="text" anchory="text"/>
              </v:line>
            </w:pict>
          </mc:Fallback>
        </mc:AlternateContent>
      </w:r>
      <w:r>
        <w:rPr>
          <w:noProof/>
        </w:rPr>
        <mc:AlternateContent>
          <mc:Choice Requires="wps">
            <w:drawing>
              <wp:anchor distT="0" distB="0" distL="114300" distR="114300" simplePos="0" relativeHeight="31" behindDoc="0" locked="0" layoutInCell="1" hidden="0" allowOverlap="1">
                <wp:simplePos x="0" y="0"/>
                <wp:positionH relativeFrom="column">
                  <wp:posOffset>4291330</wp:posOffset>
                </wp:positionH>
                <wp:positionV relativeFrom="paragraph">
                  <wp:posOffset>3919220</wp:posOffset>
                </wp:positionV>
                <wp:extent cx="215900" cy="0"/>
                <wp:effectExtent l="0" t="635" r="29210" b="10160"/>
                <wp:wrapNone/>
                <wp:docPr id="1037" name="直線コネクタ 24"/>
                <wp:cNvGraphicFramePr/>
                <a:graphic xmlns:a="http://schemas.openxmlformats.org/drawingml/2006/main">
                  <a:graphicData uri="http://schemas.microsoft.com/office/word/2010/wordprocessingShape">
                    <wps:wsp>
                      <wps:cNvCnPr/>
                      <wps:spPr>
                        <a:xfrm>
                          <a:off x="0" y="0"/>
                          <a:ext cx="215900" cy="0"/>
                        </a:xfrm>
                        <a:prstGeom prst="line">
                          <a:avLst/>
                        </a:prstGeom>
                        <a:ln w="19050" cmpd="dbl">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4="http://schemas.microsoft.com/office/drawing/2016/5/10/chartex" xmlns:cx3="http://schemas.microsoft.com/office/drawing/2016/5/9/chartex" xmlns:cx2="http://schemas.microsoft.com/office/drawing/2015/10/21/chartex">
            <w:pict>
              <v:line id="直線コネクタ 24" style="mso-wrap-distance-top:0pt;mso-position-vertical-relative:text;z-index:31;mso-position-horizontal-relative:text;position:absolute;mso-wrap-distance-bottom:0pt;mso-wrap-distance-left:9pt;mso-wrap-distance-right:9pt;" o:spid="_x0000_s1037" o:allowincell="t" o:allowoverlap="t" filled="f" stroked="t" strokecolor="#c00000" strokeweight="1.5pt" o:spt="20" from="337.9pt,308.60000000000002pt" to="354.9pt,308.60000000000002pt">
                <v:fill/>
                <v:stroke linestyle="thinThin" miterlimit="8" endcap="flat" dashstyle="solid" filltype="solid"/>
                <v:textbox style="layout-flow:horizontal;"/>
                <v:imagedata o:title=""/>
                <w10:wrap type="none" anchorx="text" anchory="text"/>
              </v:line>
            </w:pict>
          </mc:Fallback>
        </mc:AlternateContent>
      </w:r>
    </w:p>
    <w:p w:rsidR="00584782" w:rsidRDefault="00584782">
      <w:pPr>
        <w:rPr>
          <w:rFonts w:ascii="ＭＳ Ｐゴシック" w:eastAsia="ＭＳ Ｐゴシック" w:hAnsi="ＭＳ Ｐゴシック"/>
          <w:sz w:val="22"/>
        </w:rPr>
      </w:pPr>
    </w:p>
    <w:p w:rsidR="00584782" w:rsidRDefault="00584782">
      <w:pPr>
        <w:spacing w:line="380" w:lineRule="exact"/>
        <w:rPr>
          <w:rFonts w:ascii="ＭＳ Ｐゴシック" w:eastAsia="ＭＳ Ｐゴシック" w:hAnsi="ＭＳ Ｐゴシック"/>
          <w:sz w:val="22"/>
        </w:rPr>
      </w:pPr>
    </w:p>
    <w:p w:rsidR="00584782" w:rsidRDefault="00584782">
      <w:pPr>
        <w:spacing w:line="380" w:lineRule="exact"/>
        <w:rPr>
          <w:rFonts w:ascii="ＭＳ Ｐゴシック" w:eastAsia="ＭＳ Ｐゴシック" w:hAnsi="ＭＳ Ｐゴシック"/>
          <w:sz w:val="22"/>
        </w:rPr>
      </w:pPr>
    </w:p>
    <w:p w:rsidR="00584782" w:rsidRDefault="00584782">
      <w:pPr>
        <w:spacing w:line="380" w:lineRule="exact"/>
        <w:rPr>
          <w:rFonts w:ascii="ＭＳ Ｐゴシック" w:eastAsia="ＭＳ Ｐゴシック" w:hAnsi="ＭＳ Ｐゴシック"/>
          <w:sz w:val="22"/>
        </w:rPr>
      </w:pPr>
    </w:p>
    <w:p w:rsidR="00584782" w:rsidRDefault="00584782">
      <w:pPr>
        <w:spacing w:line="380" w:lineRule="exact"/>
        <w:rPr>
          <w:rFonts w:ascii="ＭＳ Ｐゴシック" w:eastAsia="ＭＳ Ｐゴシック" w:hAnsi="ＭＳ Ｐゴシック"/>
          <w:sz w:val="22"/>
        </w:rPr>
      </w:pPr>
    </w:p>
    <w:p w:rsidR="00584782" w:rsidRDefault="00584782">
      <w:pPr>
        <w:spacing w:line="380" w:lineRule="exact"/>
        <w:rPr>
          <w:rFonts w:ascii="ＭＳ Ｐゴシック" w:eastAsia="ＭＳ Ｐゴシック" w:hAnsi="ＭＳ Ｐゴシック"/>
          <w:sz w:val="22"/>
        </w:rPr>
      </w:pPr>
    </w:p>
    <w:p w:rsidR="00584782" w:rsidRDefault="00584782">
      <w:pPr>
        <w:spacing w:line="380" w:lineRule="exact"/>
        <w:rPr>
          <w:rFonts w:ascii="ＭＳ Ｐゴシック" w:eastAsia="ＭＳ Ｐゴシック" w:hAnsi="ＭＳ Ｐゴシック"/>
          <w:sz w:val="22"/>
        </w:rPr>
      </w:pPr>
    </w:p>
    <w:p w:rsidR="00584782" w:rsidRDefault="00584782">
      <w:pPr>
        <w:spacing w:line="380" w:lineRule="exact"/>
        <w:rPr>
          <w:rFonts w:ascii="ＭＳ Ｐゴシック" w:eastAsia="ＭＳ Ｐゴシック" w:hAnsi="ＭＳ Ｐゴシック"/>
          <w:sz w:val="22"/>
        </w:rPr>
      </w:pPr>
    </w:p>
    <w:p w:rsidR="00584782" w:rsidRDefault="003A4011">
      <w:pPr>
        <w:spacing w:line="380" w:lineRule="exact"/>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第２章</w:t>
      </w:r>
      <w:r>
        <w:rPr>
          <w:rFonts w:ascii="ＭＳ Ｐゴシック" w:eastAsia="ＭＳ Ｐゴシック" w:hAnsi="ＭＳ Ｐゴシック" w:hint="eastAsia"/>
          <w:sz w:val="28"/>
        </w:rPr>
        <w:t xml:space="preserve">　</w:t>
      </w:r>
      <w:r>
        <w:rPr>
          <w:rFonts w:ascii="ＭＳ Ｐゴシック" w:eastAsia="ＭＳ Ｐゴシック" w:hAnsi="ＭＳ Ｐゴシック" w:hint="eastAsia"/>
          <w:sz w:val="32"/>
        </w:rPr>
        <w:t>第</w:t>
      </w:r>
      <w:r>
        <w:rPr>
          <w:rFonts w:ascii="ＭＳ Ｐゴシック" w:eastAsia="ＭＳ Ｐゴシック" w:hAnsi="ＭＳ Ｐゴシック" w:hint="eastAsia"/>
          <w:sz w:val="32"/>
        </w:rPr>
        <w:t>2</w:t>
      </w:r>
      <w:r>
        <w:rPr>
          <w:rFonts w:ascii="ＭＳ Ｐゴシック" w:eastAsia="ＭＳ Ｐゴシック" w:hAnsi="ＭＳ Ｐゴシック" w:hint="eastAsia"/>
          <w:sz w:val="32"/>
        </w:rPr>
        <w:t>期計画に</w:t>
      </w:r>
      <w:r>
        <w:rPr>
          <w:rFonts w:ascii="ＭＳ Ｐゴシック" w:eastAsia="ＭＳ Ｐゴシック" w:hAnsi="ＭＳ Ｐゴシック" w:hint="eastAsia"/>
          <w:sz w:val="32"/>
        </w:rPr>
        <w:t>係る</w:t>
      </w:r>
      <w:r>
        <w:rPr>
          <w:rFonts w:ascii="ＭＳ Ｐゴシック" w:eastAsia="ＭＳ Ｐゴシック" w:hAnsi="ＭＳ Ｐゴシック" w:hint="eastAsia"/>
          <w:sz w:val="32"/>
        </w:rPr>
        <w:t>考察及び第</w:t>
      </w:r>
      <w:r>
        <w:rPr>
          <w:rFonts w:ascii="ＭＳ Ｐゴシック" w:eastAsia="ＭＳ Ｐゴシック" w:hAnsi="ＭＳ Ｐゴシック" w:hint="eastAsia"/>
          <w:sz w:val="32"/>
        </w:rPr>
        <w:t>3</w:t>
      </w:r>
      <w:r>
        <w:rPr>
          <w:rFonts w:ascii="ＭＳ Ｐゴシック" w:eastAsia="ＭＳ Ｐゴシック" w:hAnsi="ＭＳ Ｐゴシック" w:hint="eastAsia"/>
          <w:sz w:val="32"/>
        </w:rPr>
        <w:t>期計画における</w:t>
      </w:r>
    </w:p>
    <w:p w:rsidR="00584782" w:rsidRDefault="003A4011">
      <w:pPr>
        <w:spacing w:line="380" w:lineRule="exact"/>
        <w:ind w:firstLineChars="300" w:firstLine="960"/>
        <w:rPr>
          <w:rFonts w:ascii="ＭＳ Ｐゴシック" w:eastAsia="ＭＳ Ｐゴシック" w:hAnsi="ＭＳ Ｐゴシック"/>
          <w:sz w:val="32"/>
        </w:rPr>
      </w:pPr>
      <w:r>
        <w:rPr>
          <w:rFonts w:ascii="ＭＳ Ｐゴシック" w:eastAsia="ＭＳ Ｐゴシック" w:hAnsi="ＭＳ Ｐゴシック" w:hint="eastAsia"/>
          <w:sz w:val="32"/>
        </w:rPr>
        <w:t>健康課題の明確化</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１．保険者の特性</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2"/>
        </w:rPr>
        <w:t>本町は、人口約</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万</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千人で、高齢化率は令和</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年度国勢調査で</w:t>
      </w:r>
      <w:r>
        <w:rPr>
          <w:rFonts w:ascii="ＭＳ Ｐゴシック" w:eastAsia="ＭＳ Ｐゴシック" w:hAnsi="ＭＳ Ｐゴシック" w:hint="eastAsia"/>
          <w:sz w:val="22"/>
        </w:rPr>
        <w:t>33.0%</w:t>
      </w:r>
      <w:r>
        <w:rPr>
          <w:rFonts w:ascii="ＭＳ Ｐゴシック" w:eastAsia="ＭＳ Ｐゴシック" w:hAnsi="ＭＳ Ｐゴシック" w:hint="eastAsia"/>
          <w:sz w:val="22"/>
        </w:rPr>
        <w:t>でした。同規模、県、国と比較すると高齢者の割合は高くなっています。被保険者の平均年齢は</w:t>
      </w:r>
      <w:r>
        <w:rPr>
          <w:rFonts w:ascii="ＭＳ Ｐゴシック" w:eastAsia="ＭＳ Ｐゴシック" w:hAnsi="ＭＳ Ｐゴシック" w:hint="eastAsia"/>
          <w:sz w:val="22"/>
        </w:rPr>
        <w:t>50.9</w:t>
      </w:r>
      <w:r>
        <w:rPr>
          <w:rFonts w:ascii="ＭＳ Ｐゴシック" w:eastAsia="ＭＳ Ｐゴシック" w:hAnsi="ＭＳ Ｐゴシック" w:hint="eastAsia"/>
          <w:sz w:val="22"/>
        </w:rPr>
        <w:t>歳と同規模と比べて若く、出生率も高くなっています。財政指数は同規模、県、と同じ指数となっています。産業においては、第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次産業が</w:t>
      </w:r>
      <w:r>
        <w:rPr>
          <w:rFonts w:ascii="ＭＳ Ｐゴシック" w:eastAsia="ＭＳ Ｐゴシック" w:hAnsi="ＭＳ Ｐゴシック" w:hint="eastAsia"/>
          <w:sz w:val="22"/>
        </w:rPr>
        <w:t>72.5%</w:t>
      </w:r>
      <w:r>
        <w:rPr>
          <w:rFonts w:ascii="ＭＳ Ｐゴシック" w:eastAsia="ＭＳ Ｐゴシック" w:hAnsi="ＭＳ Ｐゴシック" w:hint="eastAsia"/>
          <w:sz w:val="22"/>
        </w:rPr>
        <w:t>と同規模と比較しても高く、サービス業の割合が多く、被保険者の生活習慣及び生活のリズムが不規則である可能性が高いため、若い年代の健康課題を明確にすることが重要です。（図表</w:t>
      </w:r>
      <w:r>
        <w:rPr>
          <w:rFonts w:ascii="ＭＳ Ｐゴシック" w:eastAsia="ＭＳ Ｐゴシック" w:hAnsi="ＭＳ Ｐゴシック" w:hint="eastAsia"/>
          <w:sz w:val="22"/>
        </w:rPr>
        <w:t>9</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国保加入率は横ばいで、被保険者数は年々減少しています。年齢構成については</w:t>
      </w:r>
      <w:r>
        <w:rPr>
          <w:rFonts w:ascii="ＭＳ Ｐゴシック" w:eastAsia="ＭＳ Ｐゴシック" w:hAnsi="ＭＳ Ｐゴシック" w:hint="eastAsia"/>
          <w:sz w:val="22"/>
        </w:rPr>
        <w:t>65</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74</w:t>
      </w:r>
      <w:r>
        <w:rPr>
          <w:rFonts w:ascii="ＭＳ Ｐゴシック" w:eastAsia="ＭＳ Ｐゴシック" w:hAnsi="ＭＳ Ｐゴシック" w:hint="eastAsia"/>
          <w:sz w:val="22"/>
        </w:rPr>
        <w:t>歳の前期高齢者が約</w:t>
      </w:r>
      <w:r>
        <w:rPr>
          <w:rFonts w:ascii="ＭＳ Ｐゴシック" w:eastAsia="ＭＳ Ｐゴシック" w:hAnsi="ＭＳ Ｐゴシック" w:hint="eastAsia"/>
          <w:sz w:val="22"/>
        </w:rPr>
        <w:t>39%</w:t>
      </w:r>
      <w:r>
        <w:rPr>
          <w:rFonts w:ascii="ＭＳ Ｐゴシック" w:eastAsia="ＭＳ Ｐゴシック" w:hAnsi="ＭＳ Ｐゴシック" w:hint="eastAsia"/>
          <w:sz w:val="22"/>
        </w:rPr>
        <w:t>を占め、</w:t>
      </w:r>
      <w:r>
        <w:rPr>
          <w:rFonts w:ascii="ＭＳ Ｐゴシック" w:eastAsia="ＭＳ Ｐゴシック" w:hAnsi="ＭＳ Ｐゴシック" w:hint="eastAsia"/>
          <w:sz w:val="22"/>
        </w:rPr>
        <w:t>39</w:t>
      </w:r>
      <w:r>
        <w:rPr>
          <w:rFonts w:ascii="ＭＳ Ｐゴシック" w:eastAsia="ＭＳ Ｐゴシック" w:hAnsi="ＭＳ Ｐゴシック" w:hint="eastAsia"/>
          <w:sz w:val="22"/>
        </w:rPr>
        <w:t>歳以下は減少しています。（図表</w:t>
      </w:r>
      <w:r>
        <w:rPr>
          <w:rFonts w:ascii="ＭＳ Ｐゴシック" w:eastAsia="ＭＳ Ｐゴシック" w:hAnsi="ＭＳ Ｐゴシック" w:hint="eastAsia"/>
          <w:sz w:val="22"/>
        </w:rPr>
        <w:t>10</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本町には</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つの病院（精神科・療養）、</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つの診療所（内科・小児科・心療内科）があります。同規模と比較して、病床数は約</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倍近く多いですが、その大半が精神科病棟・療養病棟で占めています。外来患者数は少なく、救急外来や急性期病棟、透析設備のある病院がないため、町外の病院・診療所まで受診・通院していると推測されます。（図表</w:t>
      </w:r>
      <w:r>
        <w:rPr>
          <w:rFonts w:ascii="ＭＳ Ｐゴシック" w:eastAsia="ＭＳ Ｐゴシック" w:hAnsi="ＭＳ Ｐゴシック" w:hint="eastAsia"/>
          <w:sz w:val="22"/>
        </w:rPr>
        <w:t>11</w:t>
      </w:r>
      <w:r>
        <w:rPr>
          <w:rFonts w:ascii="ＭＳ Ｐゴシック" w:eastAsia="ＭＳ Ｐゴシック" w:hAnsi="ＭＳ Ｐゴシック" w:hint="eastAsia"/>
          <w:sz w:val="22"/>
        </w:rPr>
        <w:t>）</w:t>
      </w: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960745" cy="2098675"/>
            <wp:effectExtent l="0" t="0" r="0" b="0"/>
            <wp:docPr id="1038" name="オブジェクト 0"/>
            <wp:cNvGraphicFramePr/>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6"/>
                    <a:stretch>
                      <a:fillRect/>
                    </a:stretch>
                  </pic:blipFill>
                  <pic:spPr>
                    <a:xfrm>
                      <a:off x="0" y="0"/>
                      <a:ext cx="5960745" cy="2098675"/>
                    </a:xfrm>
                    <a:prstGeom prst="rect">
                      <a:avLst/>
                    </a:prstGeom>
                  </pic:spPr>
                </pic:pic>
              </a:graphicData>
            </a:graphic>
          </wp:inline>
        </w:drawing>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959475" cy="2124075"/>
            <wp:effectExtent l="0" t="0" r="0" b="0"/>
            <wp:docPr id="1039" name="オブジェクト 0"/>
            <wp:cNvGraphicFramePr/>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7"/>
                    <a:stretch>
                      <a:fillRect/>
                    </a:stretch>
                  </pic:blipFill>
                  <pic:spPr>
                    <a:xfrm>
                      <a:off x="0" y="0"/>
                      <a:ext cx="5959475" cy="2124075"/>
                    </a:xfrm>
                    <a:prstGeom prst="rect">
                      <a:avLst/>
                    </a:prstGeom>
                  </pic:spPr>
                </pic:pic>
              </a:graphicData>
            </a:graphic>
          </wp:inline>
        </w:drawing>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5960745" cy="2112645"/>
            <wp:effectExtent l="0" t="0" r="0" b="0"/>
            <wp:docPr id="1040" name="オブジェクト 0"/>
            <wp:cNvGraphicFramePr/>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8"/>
                    <a:stretch>
                      <a:fillRect/>
                    </a:stretch>
                  </pic:blipFill>
                  <pic:spPr>
                    <a:xfrm>
                      <a:off x="0" y="0"/>
                      <a:ext cx="5960745" cy="2112645"/>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２．第</w:t>
      </w:r>
      <w:r>
        <w:rPr>
          <w:rFonts w:ascii="ＭＳ Ｐゴシック" w:eastAsia="ＭＳ Ｐゴシック" w:hAnsi="ＭＳ Ｐゴシック" w:hint="eastAsia"/>
          <w:sz w:val="28"/>
        </w:rPr>
        <w:t>2</w:t>
      </w:r>
      <w:r>
        <w:rPr>
          <w:rFonts w:ascii="ＭＳ Ｐゴシック" w:eastAsia="ＭＳ Ｐゴシック" w:hAnsi="ＭＳ Ｐゴシック" w:hint="eastAsia"/>
          <w:sz w:val="28"/>
        </w:rPr>
        <w:t>期計画に</w:t>
      </w:r>
      <w:r>
        <w:rPr>
          <w:rFonts w:ascii="ＭＳ Ｐゴシック" w:eastAsia="ＭＳ Ｐゴシック" w:hAnsi="ＭＳ Ｐゴシック" w:hint="eastAsia"/>
          <w:sz w:val="28"/>
        </w:rPr>
        <w:t>係る</w:t>
      </w:r>
      <w:r>
        <w:rPr>
          <w:rFonts w:ascii="ＭＳ Ｐゴシック" w:eastAsia="ＭＳ Ｐゴシック" w:hAnsi="ＭＳ Ｐゴシック" w:hint="eastAsia"/>
          <w:sz w:val="28"/>
        </w:rPr>
        <w:t>評価及び考察</w:t>
      </w: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sz w:val="24"/>
        </w:rPr>
        <w:t>1</w:t>
      </w:r>
      <w:r>
        <w:rPr>
          <w:rFonts w:ascii="ＭＳ Ｐゴシック" w:eastAsia="ＭＳ Ｐゴシック" w:hAnsi="ＭＳ Ｐゴシック" w:hint="eastAsia"/>
          <w:sz w:val="24"/>
        </w:rPr>
        <w:t>）第</w:t>
      </w:r>
      <w:r>
        <w:rPr>
          <w:rFonts w:ascii="ＭＳ Ｐゴシック" w:eastAsia="ＭＳ Ｐゴシック" w:hAnsi="ＭＳ Ｐゴシック" w:hint="eastAsia"/>
          <w:sz w:val="24"/>
        </w:rPr>
        <w:t>2</w:t>
      </w:r>
      <w:r>
        <w:rPr>
          <w:rFonts w:ascii="ＭＳ Ｐゴシック" w:eastAsia="ＭＳ Ｐゴシック" w:hAnsi="ＭＳ Ｐゴシック" w:hint="eastAsia"/>
          <w:sz w:val="24"/>
        </w:rPr>
        <w:t>期データヘルス計画の評価</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第</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期計画において、目標の設定を以下の</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つに分類しました。</w:t>
      </w:r>
    </w:p>
    <w:p w:rsidR="00584782" w:rsidRDefault="003A4011">
      <w:pPr>
        <w:ind w:left="1"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つ目は中長期的な目標として、計画最終年度までに達成を目指す目標を設定し、具体的には、社会保障費（医療費・介護費）の変化及び脳血管疾患、虚血性心疾患、糖尿病性腎症（人工透析）を設定しました。</w:t>
      </w:r>
    </w:p>
    <w:p w:rsidR="00584782" w:rsidRDefault="003A4011">
      <w:pPr>
        <w:ind w:leftChars="-1" w:left="-2"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つ目は短期的な目標として、年度ごとに中長期的な目標を達成するために必要な目標疾患として、メタボリックシンドローム、高血圧、糖尿病、脂質異常症を設定しました。</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参照</w:t>
      </w:r>
      <w:r>
        <w:rPr>
          <w:rFonts w:ascii="ＭＳ Ｐゴシック" w:eastAsia="ＭＳ Ｐゴシック" w:hAnsi="ＭＳ Ｐゴシック" w:hint="eastAsia"/>
          <w:sz w:val="22"/>
        </w:rPr>
        <w:t>)</w:t>
      </w:r>
    </w:p>
    <w:p w:rsidR="00584782" w:rsidRDefault="00584782">
      <w:pPr>
        <w:spacing w:line="240" w:lineRule="exact"/>
        <w:rPr>
          <w:rFonts w:ascii="ＭＳ Ｐゴシック" w:eastAsia="ＭＳ Ｐゴシック" w:hAnsi="ＭＳ Ｐゴシック"/>
          <w:sz w:val="22"/>
        </w:rPr>
      </w:pPr>
    </w:p>
    <w:p w:rsidR="00584782" w:rsidRDefault="00584782">
      <w:pPr>
        <w:spacing w:line="240" w:lineRule="exact"/>
        <w:rPr>
          <w:rFonts w:ascii="ＭＳ Ｐゴシック" w:eastAsia="ＭＳ Ｐゴシック" w:hAnsi="ＭＳ Ｐゴシック"/>
          <w:sz w:val="22"/>
        </w:rPr>
      </w:pPr>
    </w:p>
    <w:p w:rsidR="00584782" w:rsidRDefault="003A4011">
      <w:pPr>
        <w:pStyle w:val="a3"/>
        <w:numPr>
          <w:ilvl w:val="0"/>
          <w:numId w:val="3"/>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中長期的な疾患（脳血管疾患、虚</w:t>
      </w:r>
      <w:r>
        <w:rPr>
          <w:rFonts w:ascii="ＭＳ Ｐゴシック" w:eastAsia="ＭＳ Ｐゴシック" w:hAnsi="ＭＳ Ｐゴシック" w:hint="eastAsia"/>
          <w:sz w:val="24"/>
        </w:rPr>
        <w:t>血性心疾患、人工透析）の達成状況</w:t>
      </w:r>
    </w:p>
    <w:p w:rsidR="00584782" w:rsidRDefault="003A4011">
      <w:pPr>
        <w:pStyle w:val="a3"/>
        <w:numPr>
          <w:ilvl w:val="1"/>
          <w:numId w:val="3"/>
        </w:numPr>
        <w:ind w:leftChars="0" w:left="426" w:hanging="284"/>
        <w:rPr>
          <w:rFonts w:ascii="ＭＳ Ｐゴシック" w:eastAsia="ＭＳ Ｐゴシック" w:hAnsi="ＭＳ Ｐゴシック"/>
          <w:sz w:val="22"/>
        </w:rPr>
      </w:pPr>
      <w:r>
        <w:rPr>
          <w:rFonts w:ascii="ＭＳ Ｐゴシック" w:eastAsia="ＭＳ Ｐゴシック" w:hAnsi="ＭＳ Ｐゴシック" w:hint="eastAsia"/>
          <w:sz w:val="22"/>
        </w:rPr>
        <w:t>介護給付費の状況</w:t>
      </w:r>
    </w:p>
    <w:p w:rsidR="00584782" w:rsidRDefault="003A4011">
      <w:pPr>
        <w:ind w:firstLineChars="100" w:firstLine="220"/>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本町の令和</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年度の要介護認定者は、</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号（</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歳）被保険者で</w:t>
      </w:r>
      <w:r>
        <w:rPr>
          <w:rFonts w:ascii="ＭＳ Ｐゴシック" w:eastAsia="ＭＳ Ｐゴシック" w:hAnsi="ＭＳ Ｐゴシック" w:hint="eastAsia"/>
          <w:sz w:val="22"/>
        </w:rPr>
        <w:t>15</w:t>
      </w:r>
      <w:r>
        <w:rPr>
          <w:rFonts w:ascii="ＭＳ Ｐゴシック" w:eastAsia="ＭＳ Ｐゴシック" w:hAnsi="ＭＳ Ｐゴシック" w:hint="eastAsia"/>
          <w:sz w:val="22"/>
        </w:rPr>
        <w:t>人（認定率</w:t>
      </w:r>
      <w:r>
        <w:rPr>
          <w:rFonts w:ascii="ＭＳ Ｐゴシック" w:eastAsia="ＭＳ Ｐゴシック" w:hAnsi="ＭＳ Ｐゴシック" w:hint="eastAsia"/>
          <w:sz w:val="22"/>
        </w:rPr>
        <w:t>0.39%</w:t>
      </w:r>
      <w:r>
        <w:rPr>
          <w:rFonts w:ascii="ＭＳ Ｐゴシック" w:eastAsia="ＭＳ Ｐゴシック" w:hAnsi="ＭＳ Ｐゴシック" w:hint="eastAsia"/>
          <w:sz w:val="22"/>
        </w:rPr>
        <w:t>）、平成３０年度と比べると減少しています、県と比べても低くなっています。</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号（</w:t>
      </w:r>
      <w:r>
        <w:rPr>
          <w:rFonts w:ascii="ＭＳ Ｐゴシック" w:eastAsia="ＭＳ Ｐゴシック" w:hAnsi="ＭＳ Ｐゴシック" w:hint="eastAsia"/>
          <w:sz w:val="22"/>
        </w:rPr>
        <w:t>65</w:t>
      </w:r>
      <w:r>
        <w:rPr>
          <w:rFonts w:ascii="ＭＳ Ｐゴシック" w:eastAsia="ＭＳ Ｐゴシック" w:hAnsi="ＭＳ Ｐゴシック" w:hint="eastAsia"/>
          <w:sz w:val="22"/>
        </w:rPr>
        <w:t>歳以上）被保険者で</w:t>
      </w:r>
      <w:r>
        <w:rPr>
          <w:rFonts w:ascii="ＭＳ Ｐゴシック" w:eastAsia="ＭＳ Ｐゴシック" w:hAnsi="ＭＳ Ｐゴシック" w:hint="eastAsia"/>
          <w:sz w:val="22"/>
        </w:rPr>
        <w:t>800</w:t>
      </w:r>
      <w:r>
        <w:rPr>
          <w:rFonts w:ascii="ＭＳ Ｐゴシック" w:eastAsia="ＭＳ Ｐゴシック" w:hAnsi="ＭＳ Ｐゴシック" w:hint="eastAsia"/>
          <w:sz w:val="22"/>
        </w:rPr>
        <w:t>人（認定率</w:t>
      </w:r>
      <w:r>
        <w:rPr>
          <w:rFonts w:ascii="ＭＳ Ｐゴシック" w:eastAsia="ＭＳ Ｐゴシック" w:hAnsi="ＭＳ Ｐゴシック" w:hint="eastAsia"/>
          <w:sz w:val="22"/>
        </w:rPr>
        <w:t>19.5%</w:t>
      </w:r>
      <w:r>
        <w:rPr>
          <w:rFonts w:ascii="ＭＳ Ｐゴシック" w:eastAsia="ＭＳ Ｐゴシック" w:hAnsi="ＭＳ Ｐゴシック" w:hint="eastAsia"/>
          <w:sz w:val="22"/>
        </w:rPr>
        <w:t>）同規模・県と比較して大差なく、</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年度と比べると減少している。（図表</w:t>
      </w:r>
      <w:r>
        <w:rPr>
          <w:rFonts w:ascii="ＭＳ Ｐゴシック" w:eastAsia="ＭＳ Ｐゴシック" w:hAnsi="ＭＳ Ｐゴシック" w:hint="eastAsia"/>
          <w:sz w:val="22"/>
        </w:rPr>
        <w:t>12</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介護給付費の変化をみると、１人あたりの給付費は</w:t>
      </w:r>
      <w:r>
        <w:rPr>
          <w:rFonts w:ascii="ＭＳ Ｐゴシック" w:eastAsia="ＭＳ Ｐゴシック" w:hAnsi="ＭＳ Ｐゴシック" w:hint="eastAsia"/>
          <w:sz w:val="22"/>
        </w:rPr>
        <w:t>39.1</w:t>
      </w:r>
      <w:r>
        <w:rPr>
          <w:rFonts w:ascii="ＭＳ Ｐゴシック" w:eastAsia="ＭＳ Ｐゴシック" w:hAnsi="ＭＳ Ｐゴシック" w:hint="eastAsia"/>
          <w:sz w:val="22"/>
        </w:rPr>
        <w:t>万円から</w:t>
      </w:r>
      <w:r>
        <w:rPr>
          <w:rFonts w:ascii="ＭＳ Ｐゴシック" w:eastAsia="ＭＳ Ｐゴシック" w:hAnsi="ＭＳ Ｐゴシック" w:hint="eastAsia"/>
          <w:sz w:val="22"/>
        </w:rPr>
        <w:t>35.6</w:t>
      </w:r>
      <w:r>
        <w:rPr>
          <w:rFonts w:ascii="ＭＳ Ｐゴシック" w:eastAsia="ＭＳ Ｐゴシック" w:hAnsi="ＭＳ Ｐゴシック" w:hint="eastAsia"/>
          <w:sz w:val="22"/>
        </w:rPr>
        <w:t>万円となり</w:t>
      </w:r>
      <w:r>
        <w:rPr>
          <w:rFonts w:ascii="ＭＳ Ｐゴシック" w:eastAsia="ＭＳ Ｐゴシック" w:hAnsi="ＭＳ Ｐゴシック" w:hint="eastAsia"/>
          <w:sz w:val="22"/>
        </w:rPr>
        <w:t>3.5</w:t>
      </w:r>
      <w:r>
        <w:rPr>
          <w:rFonts w:ascii="ＭＳ Ｐゴシック" w:eastAsia="ＭＳ Ｐゴシック" w:hAnsi="ＭＳ Ｐゴシック" w:hint="eastAsia"/>
          <w:sz w:val="22"/>
        </w:rPr>
        <w:t>万円減っていますが、同規模、県、国と比較すると高額となっています。総給付費も増加</w:t>
      </w:r>
      <w:r>
        <w:rPr>
          <w:rFonts w:ascii="ＭＳ Ｐゴシック" w:eastAsia="ＭＳ Ｐゴシック" w:hAnsi="ＭＳ Ｐゴシック" w:hint="eastAsia"/>
          <w:sz w:val="22"/>
        </w:rPr>
        <w:t>しています。</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13</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また要介護認定状況と生活習慣病の関連として、血管疾患の視点で有病状況を見ると、どの年代でも脳血管疾患（脳出血・脳梗塞）が上位を占めており、第</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号被保険者で</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割以上、第</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号被保険者でも約</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割の有病状況となっています。基礎疾患である高血圧・糖尿病等の有病状況は、第</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号被保険者で約</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割、第</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号被保険者で約</w:t>
      </w:r>
      <w:r>
        <w:rPr>
          <w:rFonts w:ascii="ＭＳ Ｐゴシック" w:eastAsia="ＭＳ Ｐゴシック" w:hAnsi="ＭＳ Ｐゴシック" w:hint="eastAsia"/>
          <w:sz w:val="22"/>
        </w:rPr>
        <w:t>9</w:t>
      </w:r>
      <w:r>
        <w:rPr>
          <w:rFonts w:ascii="ＭＳ Ｐゴシック" w:eastAsia="ＭＳ Ｐゴシック" w:hAnsi="ＭＳ Ｐゴシック" w:hint="eastAsia"/>
          <w:sz w:val="22"/>
        </w:rPr>
        <w:t>割と高い割合となっており、生活習慣病対策は介護給付費適正化においても重要な位置づけであると言えます。</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14</w:t>
      </w:r>
      <w:r>
        <w:rPr>
          <w:rFonts w:ascii="ＭＳ Ｐゴシック" w:eastAsia="ＭＳ Ｐゴシック" w:hAnsi="ＭＳ Ｐゴシック" w:hint="eastAsia"/>
          <w:sz w:val="22"/>
        </w:rPr>
        <w:t>）</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5897245" cy="3223895"/>
            <wp:effectExtent l="0" t="0" r="0" b="0"/>
            <wp:docPr id="1041" name="オブジェクト 0"/>
            <wp:cNvGraphicFramePr/>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9"/>
                    <a:stretch>
                      <a:fillRect/>
                    </a:stretch>
                  </pic:blipFill>
                  <pic:spPr>
                    <a:xfrm>
                      <a:off x="0" y="0"/>
                      <a:ext cx="5897245" cy="3223895"/>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925820" cy="2371725"/>
            <wp:effectExtent l="0" t="0" r="0" b="0"/>
            <wp:docPr id="1042" name="オブジェクト 0"/>
            <wp:cNvGraphicFramePr/>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20"/>
                    <a:stretch>
                      <a:fillRect/>
                    </a:stretch>
                  </pic:blipFill>
                  <pic:spPr>
                    <a:xfrm>
                      <a:off x="0" y="0"/>
                      <a:ext cx="5925820" cy="2371725"/>
                    </a:xfrm>
                    <a:prstGeom prst="rect">
                      <a:avLst/>
                    </a:prstGeom>
                  </pic:spPr>
                </pic:pic>
              </a:graphicData>
            </a:graphic>
          </wp:inline>
        </w:drawing>
      </w:r>
    </w:p>
    <w:p w:rsidR="00584782" w:rsidRDefault="003A4011">
      <w:pPr>
        <w:ind w:rightChars="100" w:right="210"/>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Pr>
          <w:rFonts w:ascii="ＭＳ Ｐゴシック" w:eastAsia="ＭＳ Ｐゴシック" w:hAnsi="ＭＳ Ｐゴシック" w:hint="eastAsia"/>
          <w:sz w:val="16"/>
        </w:rPr>
        <w:t>KDB</w:t>
      </w:r>
      <w:r>
        <w:rPr>
          <w:rFonts w:ascii="ＭＳ Ｐゴシック" w:eastAsia="ＭＳ Ｐゴシック" w:hAnsi="ＭＳ Ｐゴシック" w:hint="eastAsia"/>
          <w:sz w:val="16"/>
        </w:rPr>
        <w:t>ｼｽﾃﾑ改変</w:t>
      </w:r>
      <w:r>
        <w:rPr>
          <w:rFonts w:ascii="ＭＳ Ｐゴシック" w:eastAsia="ＭＳ Ｐゴシック" w:hAnsi="ＭＳ Ｐゴシック" w:hint="eastAsia"/>
          <w:sz w:val="16"/>
        </w:rPr>
        <w:t>_</w:t>
      </w:r>
      <w:r>
        <w:rPr>
          <w:rFonts w:ascii="ＭＳ Ｐゴシック" w:eastAsia="ＭＳ Ｐゴシック" w:hAnsi="ＭＳ Ｐゴシック" w:hint="eastAsia"/>
          <w:sz w:val="16"/>
        </w:rPr>
        <w:t>健診・医療・介護データか</w:t>
      </w:r>
      <w:r>
        <w:rPr>
          <w:rFonts w:ascii="ＭＳ Ｐゴシック" w:eastAsia="ＭＳ Ｐゴシック" w:hAnsi="ＭＳ Ｐゴシック" w:hint="eastAsia"/>
          <w:sz w:val="16"/>
        </w:rPr>
        <w:t>らみる地域の健康課題</w:t>
      </w:r>
    </w:p>
    <w:p w:rsidR="00584782" w:rsidRDefault="00584782">
      <w:pPr>
        <w:jc w:val="right"/>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5849620" cy="4119880"/>
            <wp:effectExtent l="0" t="0" r="0" b="0"/>
            <wp:docPr id="1043" name="オブジェクト 0"/>
            <wp:cNvGraphicFramePr/>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21"/>
                    <a:stretch>
                      <a:fillRect/>
                    </a:stretch>
                  </pic:blipFill>
                  <pic:spPr>
                    <a:xfrm>
                      <a:off x="0" y="0"/>
                      <a:ext cx="5849620" cy="4119880"/>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3A4011">
      <w:pPr>
        <w:pStyle w:val="a3"/>
        <w:numPr>
          <w:ilvl w:val="1"/>
          <w:numId w:val="3"/>
        </w:numPr>
        <w:ind w:leftChars="0" w:left="426" w:hanging="284"/>
        <w:rPr>
          <w:rFonts w:ascii="ＭＳ Ｐゴシック" w:eastAsia="ＭＳ Ｐゴシック" w:hAnsi="ＭＳ Ｐゴシック"/>
          <w:sz w:val="22"/>
        </w:rPr>
      </w:pPr>
      <w:r>
        <w:rPr>
          <w:rFonts w:ascii="ＭＳ Ｐゴシック" w:eastAsia="ＭＳ Ｐゴシック" w:hAnsi="ＭＳ Ｐゴシック" w:hint="eastAsia"/>
          <w:sz w:val="22"/>
        </w:rPr>
        <w:t>医療費の状況</w:t>
      </w:r>
    </w:p>
    <w:p w:rsidR="00584782" w:rsidRDefault="003A4011">
      <w:pPr>
        <w:ind w:firstLineChars="100" w:firstLine="220"/>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本町の総医療費は、平成</w:t>
      </w:r>
      <w:r>
        <w:rPr>
          <w:rFonts w:ascii="ＭＳ Ｐゴシック" w:eastAsia="ＭＳ Ｐゴシック" w:hAnsi="ＭＳ Ｐゴシック" w:hint="eastAsia"/>
          <w:sz w:val="22"/>
        </w:rPr>
        <w:t>30</w:t>
      </w:r>
      <w:r>
        <w:rPr>
          <w:rFonts w:ascii="ＭＳ Ｐゴシック" w:eastAsia="ＭＳ Ｐゴシック" w:hAnsi="ＭＳ Ｐゴシック" w:hint="eastAsia"/>
          <w:sz w:val="22"/>
        </w:rPr>
        <w:t>年と令和</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年度を比較すると国保加入者の減少に伴い減少しています。一方、一人あたり医療費は増加しています。同規模と比べても高額となっています。</w:t>
      </w:r>
    </w:p>
    <w:p w:rsidR="00584782" w:rsidRDefault="003A4011">
      <w:pPr>
        <w:ind w:firstLineChars="100" w:firstLine="220"/>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また入院医療費は、全体のレセプトのわずか</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程度にも関わらず、医療費全体の約</w:t>
      </w:r>
      <w:r>
        <w:rPr>
          <w:rFonts w:ascii="ＭＳ Ｐゴシック" w:eastAsia="ＭＳ Ｐゴシック" w:hAnsi="ＭＳ Ｐゴシック" w:hint="eastAsia"/>
          <w:sz w:val="22"/>
        </w:rPr>
        <w:t>47%</w:t>
      </w:r>
      <w:r>
        <w:rPr>
          <w:rFonts w:ascii="ＭＳ Ｐゴシック" w:eastAsia="ＭＳ Ｐゴシック" w:hAnsi="ＭＳ Ｐゴシック" w:hint="eastAsia"/>
          <w:sz w:val="22"/>
        </w:rPr>
        <w:t>を占めており、</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件あたりの入院医療費も</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年度と比較しても</w:t>
      </w:r>
      <w:r>
        <w:rPr>
          <w:rFonts w:ascii="ＭＳ Ｐゴシック" w:eastAsia="ＭＳ Ｐゴシック" w:hAnsi="ＭＳ Ｐゴシック" w:hint="eastAsia"/>
          <w:sz w:val="22"/>
        </w:rPr>
        <w:t>7</w:t>
      </w:r>
      <w:r>
        <w:rPr>
          <w:rFonts w:ascii="ＭＳ Ｐゴシック" w:eastAsia="ＭＳ Ｐゴシック" w:hAnsi="ＭＳ Ｐゴシック" w:hint="eastAsia"/>
          <w:sz w:val="22"/>
        </w:rPr>
        <w:t>万円も高くなっています。（図表</w:t>
      </w:r>
      <w:r>
        <w:rPr>
          <w:rFonts w:ascii="ＭＳ Ｐゴシック" w:eastAsia="ＭＳ Ｐゴシック" w:hAnsi="ＭＳ Ｐゴシック" w:hint="eastAsia"/>
          <w:sz w:val="22"/>
        </w:rPr>
        <w:t>15</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また年齢調整をした地域差指数をみると、国民健康保険、後期高齢者医療ともに全国平均の</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を大きく超えています。、また入院の地域差指数がＨ</w:t>
      </w:r>
      <w:r>
        <w:rPr>
          <w:rFonts w:ascii="ＭＳ Ｐゴシック" w:eastAsia="ＭＳ Ｐゴシック" w:hAnsi="ＭＳ Ｐゴシック" w:hint="eastAsia"/>
          <w:sz w:val="22"/>
        </w:rPr>
        <w:t>30</w:t>
      </w:r>
      <w:r>
        <w:rPr>
          <w:rFonts w:ascii="ＭＳ Ｐゴシック" w:eastAsia="ＭＳ Ｐゴシック" w:hAnsi="ＭＳ Ｐゴシック" w:hint="eastAsia"/>
          <w:sz w:val="22"/>
        </w:rPr>
        <w:t>年度から令和</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年度にかけて横ばいで推移しています。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一人あたり医療費の地域差は、入院が主要因であり、入院を抑制し重症化を防ぐには、予防可能な生活習慣病の重症化予防が重要であり、引き続き重症化予防の取組に力を入れる必要があると考えます。（図表</w:t>
      </w:r>
      <w:r>
        <w:rPr>
          <w:rFonts w:ascii="ＭＳ Ｐゴシック" w:eastAsia="ＭＳ Ｐゴシック" w:hAnsi="ＭＳ Ｐゴシック" w:hint="eastAsia"/>
          <w:sz w:val="22"/>
        </w:rPr>
        <w:t>16</w:t>
      </w:r>
      <w:r>
        <w:rPr>
          <w:rFonts w:ascii="ＭＳ Ｐゴシック" w:eastAsia="ＭＳ Ｐゴシック" w:hAnsi="ＭＳ Ｐゴシック" w:hint="eastAsia"/>
          <w:sz w:val="22"/>
        </w:rPr>
        <w:t>）</w:t>
      </w:r>
    </w:p>
    <w:p w:rsidR="00584782" w:rsidRDefault="00584782">
      <w:pPr>
        <w:ind w:firstLineChars="100" w:firstLine="220"/>
        <w:rPr>
          <w:rFonts w:ascii="ＭＳ Ｐゴシック" w:eastAsia="ＭＳ Ｐゴシック" w:hAnsi="ＭＳ Ｐゴシック"/>
          <w:color w:val="2E74B5" w:themeColor="accent1" w:themeShade="BF"/>
          <w:sz w:val="22"/>
        </w:rPr>
      </w:pPr>
    </w:p>
    <w:p w:rsidR="00584782" w:rsidRDefault="00584782">
      <w:pPr>
        <w:ind w:firstLineChars="100" w:firstLine="220"/>
        <w:rPr>
          <w:rFonts w:ascii="ＭＳ Ｐゴシック" w:eastAsia="ＭＳ Ｐゴシック" w:hAnsi="ＭＳ Ｐゴシック"/>
          <w:color w:val="2E74B5" w:themeColor="accent1" w:themeShade="BF"/>
          <w:sz w:val="22"/>
        </w:rPr>
      </w:pPr>
    </w:p>
    <w:p w:rsidR="00584782" w:rsidRDefault="00584782">
      <w:pPr>
        <w:ind w:firstLineChars="100" w:firstLine="220"/>
        <w:rPr>
          <w:rFonts w:ascii="ＭＳ Ｐゴシック" w:eastAsia="ＭＳ Ｐゴシック" w:hAnsi="ＭＳ Ｐゴシック"/>
          <w:color w:val="2E74B5" w:themeColor="accent1" w:themeShade="BF"/>
          <w:sz w:val="22"/>
        </w:rPr>
      </w:pPr>
    </w:p>
    <w:p w:rsidR="00584782" w:rsidRDefault="00584782">
      <w:pPr>
        <w:ind w:firstLineChars="100" w:firstLine="220"/>
        <w:rPr>
          <w:rFonts w:ascii="ＭＳ Ｐゴシック" w:eastAsia="ＭＳ Ｐゴシック" w:hAnsi="ＭＳ Ｐゴシック"/>
          <w:color w:val="2E74B5" w:themeColor="accent1" w:themeShade="BF"/>
          <w:sz w:val="22"/>
        </w:rPr>
      </w:pPr>
    </w:p>
    <w:p w:rsidR="00584782" w:rsidRDefault="00584782">
      <w:pPr>
        <w:ind w:firstLineChars="100" w:firstLine="220"/>
        <w:rPr>
          <w:rFonts w:ascii="ＭＳ Ｐゴシック" w:eastAsia="ＭＳ Ｐゴシック" w:hAnsi="ＭＳ Ｐゴシック"/>
          <w:color w:val="2E74B5" w:themeColor="accent1" w:themeShade="BF"/>
          <w:sz w:val="22"/>
        </w:rPr>
      </w:pPr>
    </w:p>
    <w:p w:rsidR="00584782" w:rsidRDefault="00584782">
      <w:pPr>
        <w:ind w:firstLineChars="100" w:firstLine="220"/>
        <w:rPr>
          <w:rFonts w:ascii="ＭＳ Ｐゴシック" w:eastAsia="ＭＳ Ｐゴシック" w:hAnsi="ＭＳ Ｐゴシック"/>
          <w:color w:val="2E74B5" w:themeColor="accent1" w:themeShade="BF"/>
          <w:sz w:val="22"/>
        </w:rPr>
      </w:pPr>
    </w:p>
    <w:p w:rsidR="00584782" w:rsidRDefault="003A4011">
      <w:pPr>
        <w:ind w:firstLineChars="100" w:firstLine="210"/>
        <w:rPr>
          <w:rFonts w:ascii="ＭＳ Ｐゴシック" w:eastAsia="ＭＳ Ｐゴシック" w:hAnsi="ＭＳ Ｐゴシック"/>
          <w:sz w:val="22"/>
        </w:rPr>
      </w:pPr>
      <w:r>
        <w:rPr>
          <w:rFonts w:hint="eastAsia"/>
          <w:noProof/>
        </w:rPr>
        <w:lastRenderedPageBreak/>
        <w:drawing>
          <wp:inline distT="0" distB="0" distL="203200" distR="203200">
            <wp:extent cx="5849620" cy="3841750"/>
            <wp:effectExtent l="0" t="0" r="0" b="0"/>
            <wp:docPr id="1044" name="オブジェクト 0"/>
            <wp:cNvGraphicFramePr/>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22"/>
                    <a:stretch>
                      <a:fillRect/>
                    </a:stretch>
                  </pic:blipFill>
                  <pic:spPr>
                    <a:xfrm>
                      <a:off x="0" y="0"/>
                      <a:ext cx="5849620" cy="3841750"/>
                    </a:xfrm>
                    <a:prstGeom prst="rect">
                      <a:avLst/>
                    </a:prstGeom>
                  </pic:spPr>
                </pic:pic>
              </a:graphicData>
            </a:graphic>
          </wp:inline>
        </w:drawing>
      </w:r>
    </w:p>
    <w:p w:rsidR="00584782" w:rsidRDefault="003A4011">
      <w:pPr>
        <w:spacing w:line="220" w:lineRule="exact"/>
        <w:jc w:val="lef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　　　　出典・参照：</w:t>
      </w:r>
      <w:r>
        <w:rPr>
          <w:rFonts w:ascii="ＭＳ Ｐゴシック" w:eastAsia="ＭＳ Ｐゴシック" w:hAnsi="ＭＳ Ｐゴシック" w:hint="eastAsia"/>
          <w:sz w:val="16"/>
        </w:rPr>
        <w:t>KDB</w:t>
      </w:r>
      <w:r>
        <w:rPr>
          <w:rFonts w:ascii="ＭＳ Ｐゴシック" w:eastAsia="ＭＳ Ｐゴシック" w:hAnsi="ＭＳ Ｐゴシック" w:hint="eastAsia"/>
          <w:sz w:val="16"/>
        </w:rPr>
        <w:t>ｼｽﾃﾑ改変</w:t>
      </w:r>
      <w:r>
        <w:rPr>
          <w:rFonts w:ascii="ＭＳ Ｐゴシック" w:eastAsia="ＭＳ Ｐゴシック" w:hAnsi="ＭＳ Ｐゴシック" w:hint="eastAsia"/>
          <w:sz w:val="16"/>
        </w:rPr>
        <w:t>_</w:t>
      </w:r>
      <w:r>
        <w:rPr>
          <w:rFonts w:ascii="ＭＳ Ｐゴシック" w:eastAsia="ＭＳ Ｐゴシック" w:hAnsi="ＭＳ Ｐゴシック" w:hint="eastAsia"/>
          <w:sz w:val="16"/>
        </w:rPr>
        <w:t>健診・医療・介護データからみる地域の健康課題</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984240" cy="3140710"/>
            <wp:effectExtent l="0" t="0" r="0" b="0"/>
            <wp:docPr id="1045" name="オブジェクト 0"/>
            <wp:cNvGraphicFramePr/>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3"/>
                    <a:stretch>
                      <a:fillRect/>
                    </a:stretch>
                  </pic:blipFill>
                  <pic:spPr>
                    <a:xfrm>
                      <a:off x="0" y="0"/>
                      <a:ext cx="5984240" cy="3140710"/>
                    </a:xfrm>
                    <a:prstGeom prst="rect">
                      <a:avLst/>
                    </a:prstGeom>
                  </pic:spPr>
                </pic:pic>
              </a:graphicData>
            </a:graphic>
          </wp:inline>
        </w:drawing>
      </w:r>
    </w:p>
    <w:p w:rsidR="00584782" w:rsidRDefault="003A4011">
      <w:pPr>
        <w:pStyle w:val="a3"/>
        <w:numPr>
          <w:ilvl w:val="1"/>
          <w:numId w:val="3"/>
        </w:numPr>
        <w:ind w:leftChars="0" w:left="426" w:hanging="426"/>
        <w:rPr>
          <w:rFonts w:ascii="ＭＳ Ｐゴシック" w:eastAsia="ＭＳ Ｐゴシック" w:hAnsi="ＭＳ Ｐゴシック"/>
          <w:sz w:val="22"/>
        </w:rPr>
      </w:pPr>
      <w:r>
        <w:rPr>
          <w:rFonts w:ascii="ＭＳ Ｐゴシック" w:eastAsia="ＭＳ Ｐゴシック" w:hAnsi="ＭＳ Ｐゴシック" w:hint="eastAsia"/>
          <w:sz w:val="22"/>
        </w:rPr>
        <w:t>中長期目標疾患の医療費の変化</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中長期目標である脳血管疾患・虚血性心疾患・腎疾患の医療費合計が、総医療費に占める割合については、</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年度と比較すると増加しています。脳血管疾患・虚血性心疾患については、減少していますが、慢性腎不全（透析有）は増加しています。</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17</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次に患者数の視点で中長期目標疾患の治療状況を</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年度と比較してみると虚血性心疾患・腎不全が、患者数及び割合ともに減少していますが、脳血管疾患については、割合が高くなっていました。</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18</w:t>
      </w:r>
      <w:r>
        <w:rPr>
          <w:rFonts w:ascii="ＭＳ Ｐゴシック" w:eastAsia="ＭＳ Ｐゴシック" w:hAnsi="ＭＳ Ｐゴシック" w:hint="eastAsia"/>
          <w:sz w:val="22"/>
        </w:rPr>
        <w:t>）</w:t>
      </w:r>
    </w:p>
    <w:p w:rsidR="00584782" w:rsidRDefault="003A4011">
      <w:pPr>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lastRenderedPageBreak/>
        <w:t>人工透析の患者数は減っていますが、医療費割合は増加しており、透析患者一人当たり</w:t>
      </w:r>
      <w:r>
        <w:rPr>
          <w:rFonts w:ascii="ＭＳ Ｐゴシック" w:eastAsia="ＭＳ Ｐゴシック" w:hAnsi="ＭＳ Ｐゴシック" w:hint="eastAsia"/>
          <w:sz w:val="22"/>
        </w:rPr>
        <w:t>の医療費が増加していると考えられます。透析になると、頻回に通院しなければならず、患者本人への身体的負担だけではなく、送迎する家族の負担も大きくなる疾患です。また、脳血管疾患は発症時の急性期のみならず、リハビリ等による慢性期総医療費、また退院後の介護費がかかるなど、患者本人や家族に長期にわたって日常生活に大きな負担を強いる疾患であるため、その原因となる高血圧、糖尿病等の生活習慣の発症予防及び重症化予防の対策が重要であると考えます。</w:t>
      </w:r>
    </w:p>
    <w:p w:rsidR="00584782" w:rsidRDefault="00584782">
      <w:pPr>
        <w:rPr>
          <w:rFonts w:ascii="ＭＳ Ｐゴシック" w:eastAsia="ＭＳ Ｐゴシック" w:hAnsi="ＭＳ Ｐゴシック"/>
          <w:color w:val="2E74B5" w:themeColor="accent1" w:themeShade="BF"/>
          <w:sz w:val="22"/>
        </w:rPr>
      </w:pPr>
    </w:p>
    <w:p w:rsidR="00584782" w:rsidRDefault="003A4011">
      <w:pPr>
        <w:rPr>
          <w:rFonts w:ascii="ＭＳ Ｐゴシック" w:eastAsia="ＭＳ Ｐゴシック" w:hAnsi="ＭＳ Ｐゴシック"/>
          <w:sz w:val="16"/>
        </w:rPr>
      </w:pPr>
      <w:r>
        <w:rPr>
          <w:rFonts w:hint="eastAsia"/>
          <w:noProof/>
        </w:rPr>
        <w:drawing>
          <wp:inline distT="0" distB="0" distL="203200" distR="203200">
            <wp:extent cx="6067425" cy="3540760"/>
            <wp:effectExtent l="0" t="0" r="0" b="0"/>
            <wp:docPr id="1046" name="オブジェクト 0"/>
            <wp:cNvGraphicFramePr/>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4"/>
                    <a:stretch>
                      <a:fillRect/>
                    </a:stretch>
                  </pic:blipFill>
                  <pic:spPr>
                    <a:xfrm>
                      <a:off x="0" y="0"/>
                      <a:ext cx="6067425" cy="3540760"/>
                    </a:xfrm>
                    <a:prstGeom prst="rect">
                      <a:avLst/>
                    </a:prstGeom>
                  </pic:spPr>
                </pic:pic>
              </a:graphicData>
            </a:graphic>
          </wp:inline>
        </w:drawing>
      </w:r>
    </w:p>
    <w:p w:rsidR="00584782" w:rsidRDefault="003A4011">
      <w:pPr>
        <w:spacing w:line="240" w:lineRule="exact"/>
        <w:ind w:left="-318" w:firstLineChars="200" w:firstLine="340"/>
        <w:rPr>
          <w:rFonts w:ascii="ＭＳ Ｐゴシック" w:eastAsia="ＭＳ Ｐゴシック" w:hAnsi="ＭＳ Ｐゴシック"/>
          <w:sz w:val="17"/>
        </w:rPr>
      </w:pPr>
      <w:r>
        <w:rPr>
          <w:rFonts w:ascii="ＭＳ Ｐゴシック" w:eastAsia="ＭＳ Ｐゴシック" w:hAnsi="ＭＳ Ｐゴシック" w:hint="eastAsia"/>
          <w:sz w:val="17"/>
        </w:rPr>
        <w:t>注）最大医療資源傷病（調剤含む）による分類結果</w:t>
      </w:r>
    </w:p>
    <w:p w:rsidR="00584782" w:rsidRDefault="003A4011">
      <w:pPr>
        <w:spacing w:line="240" w:lineRule="exact"/>
        <w:ind w:left="-318" w:firstLineChars="300" w:firstLine="510"/>
        <w:rPr>
          <w:rFonts w:ascii="ＭＳ Ｐゴシック" w:eastAsia="ＭＳ Ｐゴシック" w:hAnsi="ＭＳ Ｐゴシック"/>
          <w:sz w:val="17"/>
        </w:rPr>
      </w:pPr>
      <w:r>
        <w:rPr>
          <w:rFonts w:ascii="ＭＳ Ｐゴシック" w:eastAsia="ＭＳ Ｐゴシック" w:hAnsi="ＭＳ Ｐゴシック" w:hint="eastAsia"/>
          <w:sz w:val="17"/>
        </w:rPr>
        <w:t>（最大医療資源傷病名とは</w:t>
      </w:r>
      <w:r>
        <w:rPr>
          <w:rFonts w:ascii="ＭＳ Ｐゴシック" w:eastAsia="ＭＳ Ｐゴシック" w:hAnsi="ＭＳ Ｐゴシック" w:hint="eastAsia"/>
          <w:sz w:val="17"/>
        </w:rPr>
        <w:t>、レセプトに記載された傷病名のうち、最も医療費を要した傷病名）</w:t>
      </w:r>
    </w:p>
    <w:p w:rsidR="00584782" w:rsidRDefault="003A4011">
      <w:pPr>
        <w:spacing w:line="240" w:lineRule="exact"/>
        <w:ind w:left="-318" w:firstLineChars="200" w:firstLine="340"/>
        <w:rPr>
          <w:rFonts w:ascii="ＭＳ Ｐゴシック" w:eastAsia="ＭＳ Ｐゴシック" w:hAnsi="ＭＳ Ｐゴシック"/>
          <w:sz w:val="17"/>
        </w:rPr>
      </w:pPr>
      <w:r>
        <w:rPr>
          <w:rFonts w:ascii="ＭＳ Ｐゴシック" w:eastAsia="ＭＳ Ｐゴシック" w:hAnsi="ＭＳ Ｐゴシック" w:hint="eastAsia"/>
          <w:sz w:val="17"/>
        </w:rPr>
        <w:t>注）</w:t>
      </w:r>
      <w:r>
        <w:rPr>
          <w:rFonts w:ascii="ＭＳ Ｐゴシック" w:eastAsia="ＭＳ Ｐゴシック" w:hAnsi="ＭＳ Ｐゴシック" w:hint="eastAsia"/>
          <w:sz w:val="17"/>
        </w:rPr>
        <w:t>KDB</w:t>
      </w:r>
      <w:r>
        <w:rPr>
          <w:rFonts w:ascii="ＭＳ Ｐゴシック" w:eastAsia="ＭＳ Ｐゴシック" w:hAnsi="ＭＳ Ｐゴシック" w:hint="eastAsia"/>
          <w:sz w:val="17"/>
        </w:rPr>
        <w:t>ｼｽﾃﾑでは糖尿病性腎症での医療費額が算出できないため、慢性腎不全</w:t>
      </w:r>
      <w:r>
        <w:rPr>
          <w:rFonts w:ascii="ＭＳ Ｐゴシック" w:eastAsia="ＭＳ Ｐゴシック" w:hAnsi="ＭＳ Ｐゴシック" w:hint="eastAsia"/>
          <w:sz w:val="17"/>
        </w:rPr>
        <w:t>(</w:t>
      </w:r>
      <w:r>
        <w:rPr>
          <w:rFonts w:ascii="ＭＳ Ｐゴシック" w:eastAsia="ＭＳ Ｐゴシック" w:hAnsi="ＭＳ Ｐゴシック" w:hint="eastAsia"/>
          <w:sz w:val="17"/>
        </w:rPr>
        <w:t>透析有無</w:t>
      </w:r>
      <w:r>
        <w:rPr>
          <w:rFonts w:ascii="ＭＳ Ｐゴシック" w:eastAsia="ＭＳ Ｐゴシック" w:hAnsi="ＭＳ Ｐゴシック" w:hint="eastAsia"/>
          <w:sz w:val="17"/>
        </w:rPr>
        <w:t>)</w:t>
      </w:r>
      <w:r>
        <w:rPr>
          <w:rFonts w:ascii="ＭＳ Ｐゴシック" w:eastAsia="ＭＳ Ｐゴシック" w:hAnsi="ＭＳ Ｐゴシック" w:hint="eastAsia"/>
          <w:sz w:val="17"/>
        </w:rPr>
        <w:t>を計上。</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18</w:t>
      </w:r>
      <w:r>
        <w:rPr>
          <w:rFonts w:ascii="ＭＳ Ｐゴシック" w:eastAsia="ＭＳ Ｐゴシック" w:hAnsi="ＭＳ Ｐゴシック" w:hint="eastAsia"/>
          <w:sz w:val="22"/>
        </w:rPr>
        <w:t xml:space="preserve">　中長期目標疾患の治療状況</w:t>
      </w:r>
    </w:p>
    <w:p w:rsidR="00584782" w:rsidRDefault="003A4011">
      <w:pPr>
        <w:rPr>
          <w:rFonts w:ascii="ＭＳ Ｐゴシック" w:eastAsia="ＭＳ Ｐゴシック" w:hAnsi="ＭＳ Ｐゴシック"/>
          <w:sz w:val="16"/>
        </w:rPr>
      </w:pPr>
      <w:r>
        <w:rPr>
          <w:rFonts w:hint="eastAsia"/>
          <w:noProof/>
        </w:rPr>
        <w:drawing>
          <wp:inline distT="0" distB="0" distL="203200" distR="203200">
            <wp:extent cx="6024245" cy="2322195"/>
            <wp:effectExtent l="0" t="0" r="0" b="0"/>
            <wp:docPr id="1047" name="オブジェクト 0"/>
            <wp:cNvGraphicFramePr/>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5"/>
                    <a:stretch>
                      <a:fillRect/>
                    </a:stretch>
                  </pic:blipFill>
                  <pic:spPr>
                    <a:xfrm>
                      <a:off x="0" y="0"/>
                      <a:ext cx="6024245" cy="2322195"/>
                    </a:xfrm>
                    <a:prstGeom prst="rect">
                      <a:avLst/>
                    </a:prstGeom>
                  </pic:spPr>
                </pic:pic>
              </a:graphicData>
            </a:graphic>
          </wp:inline>
        </w:drawing>
      </w:r>
    </w:p>
    <w:p w:rsidR="00584782" w:rsidRDefault="003A4011">
      <w:pPr>
        <w:spacing w:line="220" w:lineRule="exact"/>
        <w:ind w:rightChars="50" w:right="105"/>
        <w:rPr>
          <w:rFonts w:ascii="ＭＳ Ｐゴシック" w:eastAsia="ＭＳ Ｐゴシック" w:hAnsi="ＭＳ Ｐゴシック"/>
          <w:sz w:val="22"/>
        </w:rPr>
      </w:pPr>
      <w:r>
        <w:rPr>
          <w:rFonts w:ascii="ＭＳ Ｐゴシック" w:eastAsia="ＭＳ Ｐゴシック" w:hAnsi="ＭＳ Ｐゴシック" w:hint="eastAsia"/>
          <w:sz w:val="16"/>
        </w:rPr>
        <w:t>出典・参照：</w:t>
      </w:r>
      <w:r>
        <w:rPr>
          <w:rFonts w:ascii="ＭＳ Ｐゴシック" w:eastAsia="ＭＳ Ｐゴシック" w:hAnsi="ＭＳ Ｐゴシック" w:hint="eastAsia"/>
          <w:sz w:val="16"/>
        </w:rPr>
        <w:t>KDB</w:t>
      </w:r>
      <w:r>
        <w:rPr>
          <w:rFonts w:ascii="ＭＳ Ｐゴシック" w:eastAsia="ＭＳ Ｐゴシック" w:hAnsi="ＭＳ Ｐゴシック" w:hint="eastAsia"/>
          <w:sz w:val="16"/>
        </w:rPr>
        <w:t>ｼｽﾃﾑ改変</w:t>
      </w:r>
      <w:r>
        <w:rPr>
          <w:rFonts w:ascii="ＭＳ Ｐゴシック" w:eastAsia="ＭＳ Ｐゴシック" w:hAnsi="ＭＳ Ｐゴシック" w:hint="eastAsia"/>
          <w:sz w:val="16"/>
        </w:rPr>
        <w:t>_</w:t>
      </w:r>
      <w:r>
        <w:rPr>
          <w:rFonts w:ascii="ＭＳ Ｐゴシック" w:eastAsia="ＭＳ Ｐゴシック" w:hAnsi="ＭＳ Ｐゴシック" w:hint="eastAsia"/>
          <w:sz w:val="16"/>
        </w:rPr>
        <w:t xml:space="preserve">疾病管理一覧（脳卒中・虚血性心疾患）、地域の全体像の把握、被保険者構成、介入支援対象者一覧（栄養・重症化予防等）　</w:t>
      </w:r>
    </w:p>
    <w:p w:rsidR="00584782" w:rsidRDefault="003A4011">
      <w:pPr>
        <w:pStyle w:val="a3"/>
        <w:numPr>
          <w:ilvl w:val="0"/>
          <w:numId w:val="3"/>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短期的な目標疾患（高血圧・糖尿病・脂質異常症）の達成状況</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①短期的な目標疾患の患者数と合併症の状況</w:t>
      </w:r>
    </w:p>
    <w:p w:rsidR="00584782" w:rsidRDefault="003A4011">
      <w:pPr>
        <w:ind w:firstLineChars="100" w:firstLine="220"/>
        <w:rPr>
          <w:rFonts w:ascii="ＭＳ Ｐゴシック" w:eastAsia="ＭＳ Ｐゴシック" w:hAnsi="ＭＳ Ｐゴシック"/>
          <w:color w:val="2E74B5" w:themeColor="accent1" w:themeShade="BF"/>
        </w:rPr>
      </w:pPr>
      <w:r>
        <w:rPr>
          <w:rFonts w:ascii="ＭＳ Ｐゴシック" w:eastAsia="ＭＳ Ｐゴシック" w:hAnsi="ＭＳ Ｐゴシック" w:hint="eastAsia"/>
          <w:sz w:val="22"/>
        </w:rPr>
        <w:t>短期目標でもある高血圧・糖尿病・脂質異常症の治療状況を見ると、高血圧・脂質異常症治療者の割合は増えており、糖尿病治療者は横ばいです。治療者が増加している疾患があるものの、これらの疾患の合併症（重症化）でもある脳血管疾患・虚血性心疾患・人工透析の割合は、いずれの疾患においても減少しています。</w:t>
      </w:r>
    </w:p>
    <w:p w:rsidR="00584782" w:rsidRDefault="003A4011">
      <w:pPr>
        <w:ind w:firstLineChars="100" w:firstLine="220"/>
        <w:rPr>
          <w:rFonts w:ascii="ＭＳ Ｐゴシック" w:eastAsia="ＭＳ Ｐゴシック" w:hAnsi="ＭＳ Ｐゴシック"/>
          <w:color w:val="2E74B5" w:themeColor="accent1" w:themeShade="BF"/>
        </w:rPr>
      </w:pPr>
      <w:r>
        <w:rPr>
          <w:rFonts w:ascii="ＭＳ Ｐゴシック" w:eastAsia="ＭＳ Ｐゴシック" w:hAnsi="ＭＳ Ｐゴシック" w:hint="eastAsia"/>
          <w:sz w:val="22"/>
        </w:rPr>
        <w:t>本町では特定健診の結果から、治療が必要な値の方に対して、医療受診勧奨も含めた保健指導を個別に実施しており、重症化しないうちに適切な治療を受けるなどの自己管理が重症化予防につながっていることが考えられます。</w:t>
      </w:r>
    </w:p>
    <w:p w:rsidR="00584782" w:rsidRDefault="00584782">
      <w:pPr>
        <w:ind w:firstLineChars="100" w:firstLine="210"/>
        <w:rPr>
          <w:rFonts w:ascii="ＭＳ Ｐゴシック" w:eastAsia="ＭＳ Ｐゴシック" w:hAnsi="ＭＳ Ｐゴシック"/>
          <w:color w:val="2E74B5" w:themeColor="accent1" w:themeShade="BF"/>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19</w:t>
      </w:r>
      <w:r>
        <w:rPr>
          <w:rFonts w:ascii="ＭＳ Ｐゴシック" w:eastAsia="ＭＳ Ｐゴシック" w:hAnsi="ＭＳ Ｐゴシック" w:hint="eastAsia"/>
          <w:sz w:val="22"/>
        </w:rPr>
        <w:t xml:space="preserve">　高</w:t>
      </w:r>
      <w:r>
        <w:rPr>
          <w:rFonts w:ascii="ＭＳ Ｐゴシック" w:eastAsia="ＭＳ Ｐゴシック" w:hAnsi="ＭＳ Ｐゴシック" w:hint="eastAsia"/>
          <w:sz w:val="22"/>
        </w:rPr>
        <w:t>血圧症治療者の経年変化</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24245" cy="2378710"/>
            <wp:effectExtent l="0" t="0" r="0" b="0"/>
            <wp:docPr id="1048" name="オブジェクト 0"/>
            <wp:cNvGraphicFramePr/>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6"/>
                    <a:stretch>
                      <a:fillRect/>
                    </a:stretch>
                  </pic:blipFill>
                  <pic:spPr>
                    <a:xfrm>
                      <a:off x="0" y="0"/>
                      <a:ext cx="6024245" cy="2378710"/>
                    </a:xfrm>
                    <a:prstGeom prst="rect">
                      <a:avLst/>
                    </a:prstGeom>
                  </pic:spPr>
                </pic:pic>
              </a:graphicData>
            </a:graphic>
          </wp:inline>
        </w:drawing>
      </w:r>
    </w:p>
    <w:p w:rsidR="00584782" w:rsidRDefault="003A4011">
      <w:pPr>
        <w:spacing w:line="220" w:lineRule="exact"/>
        <w:ind w:rightChars="100" w:right="210"/>
        <w:rPr>
          <w:rFonts w:ascii="ＭＳ Ｐゴシック" w:eastAsia="ＭＳ Ｐゴシック" w:hAnsi="ＭＳ Ｐゴシック"/>
          <w:sz w:val="16"/>
        </w:rPr>
      </w:pPr>
      <w:r>
        <w:rPr>
          <w:rFonts w:ascii="ＭＳ Ｐゴシック" w:eastAsia="ＭＳ Ｐゴシック" w:hAnsi="ＭＳ Ｐゴシック" w:hint="eastAsia"/>
          <w:sz w:val="16"/>
        </w:rPr>
        <w:t>出典・参照：</w:t>
      </w:r>
      <w:r>
        <w:rPr>
          <w:rFonts w:ascii="ＭＳ Ｐゴシック" w:eastAsia="ＭＳ Ｐゴシック" w:hAnsi="ＭＳ Ｐゴシック" w:hint="eastAsia"/>
          <w:sz w:val="16"/>
        </w:rPr>
        <w:t>KDB</w:t>
      </w:r>
      <w:r>
        <w:rPr>
          <w:rFonts w:ascii="ＭＳ Ｐゴシック" w:eastAsia="ＭＳ Ｐゴシック" w:hAnsi="ＭＳ Ｐゴシック" w:hint="eastAsia"/>
          <w:sz w:val="16"/>
        </w:rPr>
        <w:t>ｼｽﾃﾑ改変</w:t>
      </w:r>
      <w:r>
        <w:rPr>
          <w:rFonts w:ascii="ＭＳ Ｐゴシック" w:eastAsia="ＭＳ Ｐゴシック" w:hAnsi="ＭＳ Ｐゴシック" w:hint="eastAsia"/>
          <w:sz w:val="16"/>
        </w:rPr>
        <w:t>_</w:t>
      </w:r>
      <w:r>
        <w:rPr>
          <w:rFonts w:ascii="ＭＳ Ｐゴシック" w:eastAsia="ＭＳ Ｐゴシック" w:hAnsi="ＭＳ Ｐゴシック" w:hint="eastAsia"/>
          <w:sz w:val="16"/>
        </w:rPr>
        <w:t xml:space="preserve">疾病管理一覧（高血圧症）、地域の全体像の把握、被保険者構成、介入支援対象者一覧（栄養・重症化予防等）　</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20</w:t>
      </w:r>
      <w:r>
        <w:rPr>
          <w:rFonts w:ascii="ＭＳ Ｐゴシック" w:eastAsia="ＭＳ Ｐゴシック" w:hAnsi="ＭＳ Ｐゴシック" w:hint="eastAsia"/>
          <w:sz w:val="22"/>
        </w:rPr>
        <w:t xml:space="preserve">　糖尿病治療者の経年変化</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24245" cy="3036570"/>
            <wp:effectExtent l="0" t="0" r="0" b="0"/>
            <wp:docPr id="1049" name="オブジェクト 0"/>
            <wp:cNvGraphicFramePr/>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7"/>
                    <a:stretch>
                      <a:fillRect/>
                    </a:stretch>
                  </pic:blipFill>
                  <pic:spPr>
                    <a:xfrm>
                      <a:off x="0" y="0"/>
                      <a:ext cx="6024245" cy="3036570"/>
                    </a:xfrm>
                    <a:prstGeom prst="rect">
                      <a:avLst/>
                    </a:prstGeom>
                  </pic:spPr>
                </pic:pic>
              </a:graphicData>
            </a:graphic>
          </wp:inline>
        </w:drawing>
      </w:r>
    </w:p>
    <w:p w:rsidR="00584782" w:rsidRDefault="003A4011">
      <w:pPr>
        <w:spacing w:line="220" w:lineRule="exact"/>
        <w:ind w:rightChars="100" w:right="210"/>
        <w:rPr>
          <w:rFonts w:ascii="ＭＳ Ｐゴシック" w:eastAsia="ＭＳ Ｐゴシック" w:hAnsi="ＭＳ Ｐゴシック"/>
          <w:sz w:val="22"/>
        </w:rPr>
      </w:pPr>
      <w:r>
        <w:rPr>
          <w:rFonts w:ascii="ＭＳ Ｐゴシック" w:eastAsia="ＭＳ Ｐゴシック" w:hAnsi="ＭＳ Ｐゴシック" w:hint="eastAsia"/>
          <w:sz w:val="16"/>
        </w:rPr>
        <w:t>出典・参照：</w:t>
      </w:r>
      <w:r>
        <w:rPr>
          <w:rFonts w:ascii="ＭＳ Ｐゴシック" w:eastAsia="ＭＳ Ｐゴシック" w:hAnsi="ＭＳ Ｐゴシック" w:hint="eastAsia"/>
          <w:sz w:val="16"/>
        </w:rPr>
        <w:t>KDB</w:t>
      </w:r>
      <w:r>
        <w:rPr>
          <w:rFonts w:ascii="ＭＳ Ｐゴシック" w:eastAsia="ＭＳ Ｐゴシック" w:hAnsi="ＭＳ Ｐゴシック" w:hint="eastAsia"/>
          <w:sz w:val="16"/>
        </w:rPr>
        <w:t>ｼｽﾃﾑ改変</w:t>
      </w:r>
      <w:r>
        <w:rPr>
          <w:rFonts w:ascii="ＭＳ Ｐゴシック" w:eastAsia="ＭＳ Ｐゴシック" w:hAnsi="ＭＳ Ｐゴシック" w:hint="eastAsia"/>
          <w:sz w:val="16"/>
        </w:rPr>
        <w:t>_</w:t>
      </w:r>
      <w:r>
        <w:rPr>
          <w:rFonts w:ascii="ＭＳ Ｐゴシック" w:eastAsia="ＭＳ Ｐゴシック" w:hAnsi="ＭＳ Ｐゴシック" w:hint="eastAsia"/>
          <w:sz w:val="16"/>
        </w:rPr>
        <w:t xml:space="preserve">疾病管理一覧（糖尿病）、地域の全体像の把握、被保険者構成、介入支援対象者一覧（栄養・重症化予防等）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sz w:val="22"/>
        </w:rPr>
        <w:t>21</w:t>
      </w:r>
      <w:r>
        <w:rPr>
          <w:rFonts w:ascii="ＭＳ Ｐゴシック" w:eastAsia="ＭＳ Ｐゴシック" w:hAnsi="ＭＳ Ｐゴシック" w:hint="eastAsia"/>
          <w:sz w:val="22"/>
        </w:rPr>
        <w:t xml:space="preserve">　脂質異常症治療者の経年変化</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87745" cy="2197735"/>
            <wp:effectExtent l="0" t="0" r="0" b="0"/>
            <wp:docPr id="1050" name="オブジェクト 0"/>
            <wp:cNvGraphicFramePr/>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8"/>
                    <a:stretch>
                      <a:fillRect/>
                    </a:stretch>
                  </pic:blipFill>
                  <pic:spPr>
                    <a:xfrm>
                      <a:off x="0" y="0"/>
                      <a:ext cx="6087745" cy="2197735"/>
                    </a:xfrm>
                    <a:prstGeom prst="rect">
                      <a:avLst/>
                    </a:prstGeom>
                  </pic:spPr>
                </pic:pic>
              </a:graphicData>
            </a:graphic>
          </wp:inline>
        </w:drawing>
      </w:r>
    </w:p>
    <w:p w:rsidR="00584782" w:rsidRDefault="003A4011">
      <w:pPr>
        <w:spacing w:line="220" w:lineRule="exact"/>
        <w:ind w:rightChars="66" w:right="139"/>
        <w:rPr>
          <w:rFonts w:ascii="ＭＳ Ｐゴシック" w:eastAsia="ＭＳ Ｐゴシック" w:hAnsi="ＭＳ Ｐゴシック"/>
          <w:sz w:val="22"/>
        </w:rPr>
      </w:pPr>
      <w:r>
        <w:rPr>
          <w:rFonts w:ascii="ＭＳ Ｐゴシック" w:eastAsia="ＭＳ Ｐゴシック" w:hAnsi="ＭＳ Ｐゴシック" w:hint="eastAsia"/>
          <w:sz w:val="16"/>
        </w:rPr>
        <w:t>出典・参照：</w:t>
      </w:r>
      <w:r>
        <w:rPr>
          <w:rFonts w:ascii="ＭＳ Ｐゴシック" w:eastAsia="ＭＳ Ｐゴシック" w:hAnsi="ＭＳ Ｐゴシック" w:hint="eastAsia"/>
          <w:sz w:val="16"/>
        </w:rPr>
        <w:t>KDB</w:t>
      </w:r>
      <w:r>
        <w:rPr>
          <w:rFonts w:ascii="ＭＳ Ｐゴシック" w:eastAsia="ＭＳ Ｐゴシック" w:hAnsi="ＭＳ Ｐゴシック" w:hint="eastAsia"/>
          <w:sz w:val="16"/>
        </w:rPr>
        <w:t>ｼｽﾃﾑ改変</w:t>
      </w:r>
      <w:r>
        <w:rPr>
          <w:rFonts w:ascii="ＭＳ Ｐゴシック" w:eastAsia="ＭＳ Ｐゴシック" w:hAnsi="ＭＳ Ｐゴシック" w:hint="eastAsia"/>
          <w:sz w:val="16"/>
        </w:rPr>
        <w:t>_</w:t>
      </w:r>
      <w:r>
        <w:rPr>
          <w:rFonts w:ascii="ＭＳ Ｐゴシック" w:eastAsia="ＭＳ Ｐゴシック" w:hAnsi="ＭＳ Ｐゴシック" w:hint="eastAsia"/>
          <w:sz w:val="16"/>
        </w:rPr>
        <w:t xml:space="preserve">疾病管理一覧（脂質異常症）、地域の全体像の把握、被保険者構成、介入支援対象者一覧（栄養・重症化予防等）　</w:t>
      </w:r>
    </w:p>
    <w:p w:rsidR="00584782" w:rsidRDefault="00584782">
      <w:pPr>
        <w:spacing w:line="220" w:lineRule="exact"/>
        <w:ind w:rightChars="66" w:right="139"/>
        <w:rPr>
          <w:rFonts w:ascii="ＭＳ Ｐゴシック" w:eastAsia="ＭＳ Ｐゴシック" w:hAnsi="ＭＳ Ｐゴシック"/>
          <w:sz w:val="22"/>
        </w:rPr>
      </w:pPr>
    </w:p>
    <w:p w:rsidR="00584782" w:rsidRDefault="00584782">
      <w:pPr>
        <w:spacing w:line="220" w:lineRule="exact"/>
        <w:ind w:rightChars="66" w:right="139"/>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②高血圧・高血糖者の結果の改善及び医療のかかり方</w:t>
      </w:r>
    </w:p>
    <w:p w:rsidR="00584782" w:rsidRDefault="003A4011">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健診結果からⅡ度高血圧・</w:t>
      </w:r>
      <w:r>
        <w:rPr>
          <w:rFonts w:ascii="ＭＳ Ｐゴシック" w:eastAsia="ＭＳ Ｐゴシック" w:hAnsi="ＭＳ Ｐゴシック" w:hint="eastAsia"/>
          <w:sz w:val="22"/>
        </w:rPr>
        <w:t>HbA1</w:t>
      </w:r>
      <w:r>
        <w:rPr>
          <w:rFonts w:ascii="ＭＳ Ｐゴシック" w:eastAsia="ＭＳ Ｐゴシック" w:hAnsi="ＭＳ Ｐゴシック" w:hint="eastAsia"/>
          <w:sz w:val="22"/>
        </w:rPr>
        <w:t>ｃ</w:t>
      </w:r>
      <w:r>
        <w:rPr>
          <w:rFonts w:ascii="ＭＳ Ｐゴシック" w:eastAsia="ＭＳ Ｐゴシック" w:hAnsi="ＭＳ Ｐゴシック" w:hint="eastAsia"/>
          <w:sz w:val="22"/>
        </w:rPr>
        <w:t>7.0</w:t>
      </w:r>
      <w:r>
        <w:rPr>
          <w:rFonts w:ascii="ＭＳ Ｐゴシック" w:eastAsia="ＭＳ Ｐゴシック" w:hAnsi="ＭＳ Ｐゴシック" w:hint="eastAsia"/>
          <w:sz w:val="22"/>
        </w:rPr>
        <w:t>以上を</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年度と</w:t>
      </w:r>
      <w:r>
        <w:rPr>
          <w:rFonts w:ascii="ＭＳ Ｐゴシック" w:eastAsia="ＭＳ Ｐゴシック" w:hAnsi="ＭＳ Ｐゴシック" w:hint="eastAsia"/>
          <w:sz w:val="22"/>
        </w:rPr>
        <w:t>R03</w:t>
      </w:r>
      <w:r>
        <w:rPr>
          <w:rFonts w:ascii="ＭＳ Ｐゴシック" w:eastAsia="ＭＳ Ｐゴシック" w:hAnsi="ＭＳ Ｐゴシック" w:hint="eastAsia"/>
          <w:sz w:val="22"/>
        </w:rPr>
        <w:t>年度で比較してみたところ、Ⅱ度高血圧の有所見者の割合は低くなっていますが、</w:t>
      </w:r>
      <w:r>
        <w:rPr>
          <w:rFonts w:ascii="ＭＳ Ｐゴシック" w:eastAsia="ＭＳ Ｐゴシック" w:hAnsi="ＭＳ Ｐゴシック" w:hint="eastAsia"/>
          <w:sz w:val="22"/>
        </w:rPr>
        <w:t>HbA1c7.0</w:t>
      </w:r>
      <w:r>
        <w:rPr>
          <w:rFonts w:ascii="ＭＳ Ｐゴシック" w:eastAsia="ＭＳ Ｐゴシック" w:hAnsi="ＭＳ Ｐゴシック" w:hint="eastAsia"/>
          <w:sz w:val="22"/>
        </w:rPr>
        <w:t>以上の有所見者の割合が伸びています。また未治療者について健診後、医療につながったかレセプトと突合したところ、未治療のまま放置されている方が高血圧で約</w:t>
      </w:r>
      <w:r>
        <w:rPr>
          <w:rFonts w:ascii="ＭＳ Ｐゴシック" w:eastAsia="ＭＳ Ｐゴシック" w:hAnsi="ＭＳ Ｐゴシック" w:hint="eastAsia"/>
          <w:sz w:val="22"/>
        </w:rPr>
        <w:t>17.6%</w:t>
      </w:r>
      <w:r>
        <w:rPr>
          <w:rFonts w:ascii="ＭＳ Ｐゴシック" w:eastAsia="ＭＳ Ｐゴシック" w:hAnsi="ＭＳ Ｐゴシック" w:hint="eastAsia"/>
          <w:sz w:val="22"/>
        </w:rPr>
        <w:t>、糖尿病で</w:t>
      </w:r>
      <w:r>
        <w:rPr>
          <w:rFonts w:ascii="ＭＳ Ｐゴシック" w:eastAsia="ＭＳ Ｐゴシック" w:hAnsi="ＭＳ Ｐゴシック" w:hint="eastAsia"/>
          <w:sz w:val="22"/>
        </w:rPr>
        <w:t>7.2%</w:t>
      </w:r>
      <w:r>
        <w:rPr>
          <w:rFonts w:ascii="ＭＳ Ｐゴシック" w:eastAsia="ＭＳ Ｐゴシック" w:hAnsi="ＭＳ Ｐゴシック" w:hint="eastAsia"/>
          <w:sz w:val="22"/>
        </w:rPr>
        <w:t>ほどいることがわかりま</w:t>
      </w:r>
      <w:r>
        <w:rPr>
          <w:rFonts w:ascii="ＭＳ Ｐゴシック" w:eastAsia="ＭＳ Ｐゴシック" w:hAnsi="ＭＳ Ｐゴシック" w:hint="eastAsia"/>
          <w:sz w:val="22"/>
        </w:rPr>
        <w:t>す。（図表</w:t>
      </w:r>
      <w:r>
        <w:rPr>
          <w:rFonts w:ascii="ＭＳ Ｐゴシック" w:eastAsia="ＭＳ Ｐゴシック" w:hAnsi="ＭＳ Ｐゴシック" w:hint="eastAsia"/>
          <w:sz w:val="22"/>
        </w:rPr>
        <w:t>22</w:t>
      </w:r>
      <w:r>
        <w:rPr>
          <w:rFonts w:ascii="ＭＳ Ｐゴシック" w:eastAsia="ＭＳ Ｐゴシック" w:hAnsi="ＭＳ Ｐゴシック" w:hint="eastAsia"/>
          <w:sz w:val="22"/>
        </w:rPr>
        <w:t>）</w:t>
      </w:r>
    </w:p>
    <w:p w:rsidR="00584782" w:rsidRDefault="003A4011">
      <w:pPr>
        <w:ind w:firstLineChars="200" w:firstLine="440"/>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前述した通り、基礎疾患（高血圧・糖尿病・脂質異常症）の合併症の割合は減ってきていますが、新型コロナ感染症の影響で受診率が低迷している中、生活習慣病は自覚症状がほとんどないまま進行するため、健診の受診率向上を図りつつ、要医療域の方には受診勧奨を徹底し、重症化を予防することが重要であると考えます。</w:t>
      </w:r>
    </w:p>
    <w:p w:rsidR="00584782" w:rsidRDefault="00584782">
      <w:pPr>
        <w:ind w:firstLineChars="200" w:firstLine="440"/>
        <w:rPr>
          <w:rFonts w:ascii="ＭＳ Ｐゴシック" w:eastAsia="ＭＳ Ｐゴシック" w:hAnsi="ＭＳ Ｐゴシック"/>
          <w:color w:val="2E74B5" w:themeColor="accent1" w:themeShade="BF"/>
          <w:sz w:val="22"/>
        </w:rPr>
      </w:pPr>
    </w:p>
    <w:p w:rsidR="00584782" w:rsidRDefault="003A4011">
      <w:pPr>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22</w:t>
      </w:r>
      <w:r>
        <w:rPr>
          <w:rFonts w:ascii="ＭＳ Ｐゴシック" w:eastAsia="ＭＳ Ｐゴシック" w:hAnsi="ＭＳ Ｐゴシック" w:hint="eastAsia"/>
          <w:sz w:val="22"/>
        </w:rPr>
        <w:t xml:space="preserve">　結果の改善と医療のかかり方</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3615" cy="3308985"/>
            <wp:effectExtent l="0" t="0" r="0" b="0"/>
            <wp:docPr id="1051" name="オブジェクト 0"/>
            <wp:cNvGraphicFramePr/>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9"/>
                    <a:stretch>
                      <a:fillRect/>
                    </a:stretch>
                  </pic:blipFill>
                  <pic:spPr>
                    <a:xfrm>
                      <a:off x="0" y="0"/>
                      <a:ext cx="6063615" cy="3308985"/>
                    </a:xfrm>
                    <a:prstGeom prst="rect">
                      <a:avLst/>
                    </a:prstGeom>
                  </pic:spPr>
                </pic:pic>
              </a:graphicData>
            </a:graphic>
          </wp:inline>
        </w:drawing>
      </w:r>
    </w:p>
    <w:p w:rsidR="00584782" w:rsidRDefault="003A4011">
      <w:pPr>
        <w:jc w:val="right"/>
        <w:rPr>
          <w:rFonts w:ascii="ＭＳ Ｐゴシック" w:eastAsia="ＭＳ Ｐゴシック" w:hAnsi="ＭＳ Ｐゴシック"/>
          <w:sz w:val="22"/>
        </w:rPr>
      </w:pPr>
      <w:r>
        <w:rPr>
          <w:rFonts w:ascii="ＭＳ Ｐゴシック" w:eastAsia="ＭＳ Ｐゴシック" w:hAnsi="ＭＳ Ｐゴシック" w:hint="eastAsia"/>
          <w:sz w:val="18"/>
        </w:rPr>
        <w:lastRenderedPageBreak/>
        <w:t>出典・参照：</w:t>
      </w:r>
      <w:r>
        <w:rPr>
          <w:rFonts w:ascii="ＭＳ Ｐゴシック" w:eastAsia="ＭＳ Ｐゴシック" w:hAnsi="ＭＳ Ｐゴシック" w:hint="eastAsia"/>
          <w:sz w:val="18"/>
        </w:rPr>
        <w:t>KDB</w:t>
      </w:r>
      <w:r>
        <w:rPr>
          <w:rFonts w:ascii="ＭＳ Ｐゴシック" w:eastAsia="ＭＳ Ｐゴシック" w:hAnsi="ＭＳ Ｐゴシック" w:hint="eastAsia"/>
          <w:sz w:val="18"/>
        </w:rPr>
        <w:t>ｼｽﾃﾑ改変、特定健診等ﾃﾞｰﾀ管理ｼｽﾃﾑ</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③健診結果の経年変化</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メタボリックシンドロームは、内臓脂肪の蓄積に加え、心疾患や脳血管疾患などの循環器疾患を発症させる危険因子が軽度であっても重複した病態を指し、その危険因子を複数保有していると、循環器疾患の死亡率や発症率が高くなることがわかっています。</w:t>
      </w:r>
      <w:r>
        <w:rPr>
          <w:rFonts w:ascii="ＭＳ Ｐゴシック" w:eastAsia="ＭＳ Ｐゴシック" w:hAnsi="ＭＳ Ｐゴシック" w:hint="eastAsia"/>
          <w:sz w:val="22"/>
        </w:rPr>
        <w:t>本町の特定健診結果において、</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年度と</w:t>
      </w:r>
      <w:r>
        <w:rPr>
          <w:rFonts w:ascii="ＭＳ Ｐゴシック" w:eastAsia="ＭＳ Ｐゴシック" w:hAnsi="ＭＳ Ｐゴシック" w:hint="eastAsia"/>
          <w:sz w:val="22"/>
        </w:rPr>
        <w:t>R04</w:t>
      </w:r>
      <w:r>
        <w:rPr>
          <w:rFonts w:ascii="ＭＳ Ｐゴシック" w:eastAsia="ＭＳ Ｐゴシック" w:hAnsi="ＭＳ Ｐゴシック" w:hint="eastAsia"/>
          <w:sz w:val="22"/>
        </w:rPr>
        <w:t>年度を比較したところ、メタボリックシンドロームの該当者は、</w:t>
      </w:r>
      <w:r>
        <w:rPr>
          <w:rFonts w:ascii="ＭＳ Ｐゴシック" w:eastAsia="ＭＳ Ｐゴシック" w:hAnsi="ＭＳ Ｐゴシック" w:hint="eastAsia"/>
          <w:sz w:val="22"/>
        </w:rPr>
        <w:t>29.7</w:t>
      </w:r>
      <w:r>
        <w:rPr>
          <w:rFonts w:ascii="ＭＳ Ｐゴシック" w:eastAsia="ＭＳ Ｐゴシック" w:hAnsi="ＭＳ Ｐゴシック" w:hint="eastAsia"/>
          <w:sz w:val="22"/>
        </w:rPr>
        <w:t>％から</w:t>
      </w:r>
      <w:r>
        <w:rPr>
          <w:rFonts w:ascii="ＭＳ Ｐゴシック" w:eastAsia="ＭＳ Ｐゴシック" w:hAnsi="ＭＳ Ｐゴシック" w:hint="eastAsia"/>
          <w:sz w:val="22"/>
        </w:rPr>
        <w:t>34.1</w:t>
      </w:r>
      <w:r>
        <w:rPr>
          <w:rFonts w:ascii="ＭＳ Ｐゴシック" w:eastAsia="ＭＳ Ｐゴシック" w:hAnsi="ＭＳ Ｐゴシック" w:hint="eastAsia"/>
          <w:sz w:val="22"/>
        </w:rPr>
        <w:t>％に増加しており、</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項目すべての危険因子が重なっている割合、</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項目の危険因子がかさなっている割合、さらに予備軍の割合もすべてが増加しています。</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23</w:t>
      </w:r>
      <w:r>
        <w:rPr>
          <w:rFonts w:ascii="ＭＳ Ｐゴシック" w:eastAsia="ＭＳ Ｐゴシック" w:hAnsi="ＭＳ Ｐゴシック" w:hint="eastAsia"/>
          <w:sz w:val="22"/>
        </w:rPr>
        <w:t>）</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2E74B5" w:themeColor="accent1" w:themeShade="BF"/>
          <w:sz w:val="22"/>
        </w:rPr>
        <w:t xml:space="preserve">　</w:t>
      </w:r>
      <w:r>
        <w:rPr>
          <w:rFonts w:ascii="ＭＳ Ｐゴシック" w:eastAsia="ＭＳ Ｐゴシック" w:hAnsi="ＭＳ Ｐゴシック" w:hint="eastAsia"/>
          <w:sz w:val="22"/>
        </w:rPr>
        <w:t>また重症化予防の観点から、</w:t>
      </w:r>
      <w:r>
        <w:rPr>
          <w:rFonts w:ascii="ＭＳ Ｐゴシック" w:eastAsia="ＭＳ Ｐゴシック" w:hAnsi="ＭＳ Ｐゴシック" w:hint="eastAsia"/>
          <w:sz w:val="22"/>
        </w:rPr>
        <w:t>HbA1</w:t>
      </w:r>
      <w:r>
        <w:rPr>
          <w:rFonts w:ascii="ＭＳ Ｐゴシック" w:eastAsia="ＭＳ Ｐゴシック" w:hAnsi="ＭＳ Ｐゴシック" w:hint="eastAsia"/>
          <w:sz w:val="22"/>
        </w:rPr>
        <w:t>ｃ</w:t>
      </w:r>
      <w:r>
        <w:rPr>
          <w:rFonts w:ascii="ＭＳ Ｐゴシック" w:eastAsia="ＭＳ Ｐゴシック" w:hAnsi="ＭＳ Ｐゴシック" w:hint="eastAsia"/>
          <w:sz w:val="22"/>
        </w:rPr>
        <w:t>6.5</w:t>
      </w:r>
      <w:r>
        <w:rPr>
          <w:rFonts w:ascii="ＭＳ Ｐゴシック" w:eastAsia="ＭＳ Ｐゴシック" w:hAnsi="ＭＳ Ｐゴシック" w:hint="eastAsia"/>
          <w:sz w:val="22"/>
        </w:rPr>
        <w:t>以上の有所見割合を見ると、微増しています。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また、、翌年度健診を受診せずに経過が把握できていない方が</w:t>
      </w:r>
      <w:r>
        <w:rPr>
          <w:rFonts w:ascii="ＭＳ Ｐゴシック" w:eastAsia="ＭＳ Ｐゴシック" w:hAnsi="ＭＳ Ｐゴシック" w:hint="eastAsia"/>
          <w:sz w:val="22"/>
        </w:rPr>
        <w:t>HbA1c6.5</w:t>
      </w:r>
      <w:r>
        <w:rPr>
          <w:rFonts w:ascii="ＭＳ Ｐゴシック" w:eastAsia="ＭＳ Ｐゴシック" w:hAnsi="ＭＳ Ｐゴシック" w:hint="eastAsia"/>
          <w:sz w:val="22"/>
        </w:rPr>
        <w:t>以上、Ⅱ度高血圧以上、</w:t>
      </w:r>
      <w:r>
        <w:rPr>
          <w:rFonts w:ascii="ＭＳ Ｐゴシック" w:eastAsia="ＭＳ Ｐゴシック" w:hAnsi="ＭＳ Ｐゴシック" w:hint="eastAsia"/>
          <w:sz w:val="22"/>
        </w:rPr>
        <w:t>LDL-C160</w:t>
      </w:r>
      <w:r>
        <w:rPr>
          <w:rFonts w:ascii="ＭＳ Ｐゴシック" w:eastAsia="ＭＳ Ｐゴシック" w:hAnsi="ＭＳ Ｐゴシック" w:hint="eastAsia"/>
          <w:sz w:val="22"/>
        </w:rPr>
        <w:t>以上、全てにおいて約</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割程度存在しています。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今後も結果の改善につながる保健指導を実施するよう努めると共に、継続受診を勧める働きかけを行っていきます。</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24</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25</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26</w:t>
      </w:r>
      <w:r>
        <w:rPr>
          <w:rFonts w:ascii="ＭＳ Ｐゴシック" w:eastAsia="ＭＳ Ｐゴシック" w:hAnsi="ＭＳ Ｐゴシック" w:hint="eastAsia"/>
          <w:sz w:val="22"/>
        </w:rPr>
        <w:t>）</w:t>
      </w: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rPr>
      </w:pPr>
      <w:r>
        <w:rPr>
          <w:rFonts w:ascii="ＭＳ Ｐゴシック" w:eastAsia="ＭＳ Ｐゴシック" w:hAnsi="ＭＳ Ｐゴシック" w:hint="eastAsia"/>
        </w:rPr>
        <w:t>図表</w:t>
      </w:r>
      <w:r>
        <w:rPr>
          <w:rFonts w:ascii="ＭＳ Ｐゴシック" w:eastAsia="ＭＳ Ｐゴシック" w:hAnsi="ＭＳ Ｐゴシック"/>
        </w:rPr>
        <w:t>23</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メタボリックシンドロームの経年変化</w:t>
      </w:r>
    </w:p>
    <w:p w:rsidR="00584782" w:rsidRDefault="003A4011">
      <w:pPr>
        <w:rPr>
          <w:rFonts w:ascii="ＭＳ Ｐゴシック" w:eastAsia="ＭＳ Ｐゴシック" w:hAnsi="ＭＳ Ｐゴシック"/>
          <w:sz w:val="16"/>
        </w:rPr>
      </w:pPr>
      <w:r>
        <w:rPr>
          <w:rFonts w:hint="eastAsia"/>
          <w:noProof/>
        </w:rPr>
        <w:drawing>
          <wp:inline distT="0" distB="0" distL="203200" distR="203200">
            <wp:extent cx="6064250" cy="1352550"/>
            <wp:effectExtent l="0" t="0" r="0" b="0"/>
            <wp:docPr id="1052" name="オブジェクト 0"/>
            <wp:cNvGraphicFramePr/>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30"/>
                    <a:stretch>
                      <a:fillRect/>
                    </a:stretch>
                  </pic:blipFill>
                  <pic:spPr>
                    <a:xfrm>
                      <a:off x="0" y="0"/>
                      <a:ext cx="6064250" cy="1352550"/>
                    </a:xfrm>
                    <a:prstGeom prst="rect">
                      <a:avLst/>
                    </a:prstGeom>
                  </pic:spPr>
                </pic:pic>
              </a:graphicData>
            </a:graphic>
          </wp:inline>
        </w:drawing>
      </w:r>
    </w:p>
    <w:p w:rsidR="00584782" w:rsidRDefault="003A4011">
      <w:pPr>
        <w:ind w:firstLineChars="4000" w:firstLine="6400"/>
      </w:pPr>
      <w:r>
        <w:rPr>
          <w:rFonts w:ascii="ＭＳ Ｐゴシック" w:eastAsia="ＭＳ Ｐゴシック" w:hAnsi="ＭＳ Ｐゴシック" w:hint="eastAsia"/>
          <w:sz w:val="16"/>
        </w:rPr>
        <w:t xml:space="preserve">　　出典・参照：</w:t>
      </w:r>
      <w:r>
        <w:rPr>
          <w:rFonts w:ascii="ＭＳ Ｐゴシック" w:eastAsia="ＭＳ Ｐゴシック" w:hAnsi="ＭＳ Ｐゴシック" w:hint="eastAsia"/>
          <w:sz w:val="18"/>
        </w:rPr>
        <w:t>特定健診等ﾃﾞｰﾀ管理ｼｽﾃﾑ</w:t>
      </w:r>
    </w:p>
    <w:p w:rsidR="00584782" w:rsidRDefault="00584782">
      <w:pPr>
        <w:rPr>
          <w:rFonts w:ascii="ＭＳ Ｐゴシック" w:eastAsia="ＭＳ Ｐゴシック" w:hAnsi="ＭＳ Ｐゴシック"/>
        </w:rPr>
      </w:pPr>
    </w:p>
    <w:p w:rsidR="00584782" w:rsidRDefault="003A4011">
      <w:pPr>
        <w:rPr>
          <w:rFonts w:ascii="ＭＳ Ｐゴシック" w:eastAsia="ＭＳ Ｐゴシック" w:hAnsi="ＭＳ Ｐゴシック"/>
        </w:rPr>
      </w:pPr>
      <w:r>
        <w:rPr>
          <w:rFonts w:ascii="ＭＳ Ｐゴシック" w:eastAsia="ＭＳ Ｐゴシック" w:hAnsi="ＭＳ Ｐゴシック" w:hint="eastAsia"/>
        </w:rPr>
        <w:t>図表</w:t>
      </w:r>
      <w:r>
        <w:rPr>
          <w:rFonts w:ascii="ＭＳ Ｐゴシック" w:eastAsia="ＭＳ Ｐゴシック" w:hAnsi="ＭＳ Ｐゴシック"/>
        </w:rPr>
        <w:t>24</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HbA1</w:t>
      </w:r>
      <w:r>
        <w:rPr>
          <w:rFonts w:ascii="ＭＳ Ｐゴシック" w:eastAsia="ＭＳ Ｐゴシック" w:hAnsi="ＭＳ Ｐゴシック" w:hint="eastAsia"/>
        </w:rPr>
        <w:t>ｃ</w:t>
      </w:r>
      <w:r>
        <w:rPr>
          <w:rFonts w:ascii="ＭＳ Ｐゴシック" w:eastAsia="ＭＳ Ｐゴシック" w:hAnsi="ＭＳ Ｐゴシック" w:hint="eastAsia"/>
        </w:rPr>
        <w:t>6.5</w:t>
      </w:r>
      <w:r>
        <w:rPr>
          <w:rFonts w:ascii="ＭＳ Ｐゴシック" w:eastAsia="ＭＳ Ｐゴシック" w:hAnsi="ＭＳ Ｐゴシック" w:hint="eastAsia"/>
        </w:rPr>
        <w:t>以上者の前年度からの変化（継続受診者）</w:t>
      </w:r>
    </w:p>
    <w:p w:rsidR="00584782" w:rsidRDefault="003A4011">
      <w:pPr>
        <w:rPr>
          <w:rFonts w:ascii="ＭＳ Ｐゴシック" w:eastAsia="ＭＳ Ｐゴシック" w:hAnsi="ＭＳ Ｐゴシック"/>
        </w:rPr>
      </w:pPr>
      <w:r>
        <w:rPr>
          <w:rFonts w:hint="eastAsia"/>
          <w:noProof/>
        </w:rPr>
        <w:drawing>
          <wp:inline distT="0" distB="0" distL="203200" distR="203200">
            <wp:extent cx="6067425" cy="1371600"/>
            <wp:effectExtent l="0" t="0" r="0" b="0"/>
            <wp:docPr id="1053" name="オブジェクト 0"/>
            <wp:cNvGraphicFramePr/>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31"/>
                    <a:stretch>
                      <a:fillRect/>
                    </a:stretch>
                  </pic:blipFill>
                  <pic:spPr>
                    <a:xfrm>
                      <a:off x="0" y="0"/>
                      <a:ext cx="6067425" cy="1371600"/>
                    </a:xfrm>
                    <a:prstGeom prst="rect">
                      <a:avLst/>
                    </a:prstGeom>
                  </pic:spPr>
                </pic:pic>
              </a:graphicData>
            </a:graphic>
          </wp:inline>
        </w:drawing>
      </w:r>
    </w:p>
    <w:p w:rsidR="00584782" w:rsidRDefault="003A4011">
      <w:pPr>
        <w:ind w:firstLineChars="4150" w:firstLine="6640"/>
      </w:pPr>
      <w:r>
        <w:rPr>
          <w:rFonts w:ascii="ＭＳ Ｐゴシック" w:eastAsia="ＭＳ Ｐゴシック" w:hAnsi="ＭＳ Ｐゴシック" w:hint="eastAsia"/>
          <w:sz w:val="16"/>
        </w:rPr>
        <w:t>出典・参照：</w:t>
      </w:r>
      <w:r>
        <w:rPr>
          <w:rFonts w:ascii="ＭＳ Ｐゴシック" w:eastAsia="ＭＳ Ｐゴシック" w:hAnsi="ＭＳ Ｐゴシック" w:hint="eastAsia"/>
          <w:sz w:val="18"/>
        </w:rPr>
        <w:t>特定健診等ﾃﾞｰﾀ管理ｼｽﾃﾑ</w:t>
      </w:r>
    </w:p>
    <w:p w:rsidR="00584782" w:rsidRDefault="003A4011">
      <w:pPr>
        <w:rPr>
          <w:rFonts w:ascii="ＭＳ Ｐゴシック" w:eastAsia="ＭＳ Ｐゴシック" w:hAnsi="ＭＳ Ｐゴシック"/>
        </w:rPr>
      </w:pPr>
      <w:r>
        <w:rPr>
          <w:rFonts w:hint="eastAsia"/>
          <w:noProof/>
        </w:rPr>
        <mc:AlternateContent>
          <mc:Choice Requires="wps">
            <w:drawing>
              <wp:anchor distT="0" distB="0" distL="114300" distR="114300" simplePos="0" relativeHeight="5" behindDoc="0" locked="0" layoutInCell="1" hidden="0" allowOverlap="1">
                <wp:simplePos x="0" y="0"/>
                <wp:positionH relativeFrom="margin">
                  <wp:align>right</wp:align>
                </wp:positionH>
                <wp:positionV relativeFrom="paragraph">
                  <wp:posOffset>10795</wp:posOffset>
                </wp:positionV>
                <wp:extent cx="1258570" cy="676275"/>
                <wp:effectExtent l="0" t="0" r="635" b="635"/>
                <wp:wrapNone/>
                <wp:docPr id="1054" name="テキスト ボックス 1433242744"/>
                <wp:cNvGraphicFramePr/>
                <a:graphic xmlns:a="http://schemas.openxmlformats.org/drawingml/2006/main">
                  <a:graphicData uri="http://schemas.microsoft.com/office/word/2010/wordprocessingShape">
                    <wps:wsp>
                      <wps:cNvSpPr txBox="1"/>
                      <wps:spPr>
                        <a:xfrm>
                          <a:off x="0" y="0"/>
                          <a:ext cx="1258570" cy="676275"/>
                        </a:xfrm>
                        <a:prstGeom prst="rect">
                          <a:avLst/>
                        </a:prstGeom>
                        <a:noFill/>
                        <a:ln w="6350">
                          <a:noFill/>
                        </a:ln>
                        <a:effectLst/>
                      </wps:spPr>
                      <wps:txbx>
                        <w:txbxContent>
                          <w:p w:rsidR="00584782" w:rsidRDefault="00584782">
                            <w:pPr>
                              <w:spacing w:line="220" w:lineRule="exact"/>
                              <w:jc w:val="left"/>
                              <w:rPr>
                                <w:rFonts w:ascii="ＭＳ Ｐゴシック" w:eastAsia="ＭＳ Ｐゴシック" w:hAnsi="ＭＳ Ｐゴシック"/>
                                <w:sz w:val="16"/>
                              </w:rPr>
                            </w:pPr>
                          </w:p>
                        </w:txbxContent>
                      </wps:txbx>
                      <wps:bodyPr rot="0" vertOverflow="overflow" horzOverflow="overflow" wrap="square" numCol="1" spcCol="0" rtlCol="0" fromWordArt="0" anchor="ctr"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1433242744" style="mso-position-vertical-relative:text;z-index:5;mso-wrap-distance-left:9pt;width:99.1pt;height:53.25pt;mso-position-horizontal-relative:margin;position:absolute;mso-position-horizontal:right;margin-top:0.85pt;mso-wrap-distance-bottom:0pt;mso-wrap-distance-right:9pt;mso-wrap-distance-top:0pt;v-text-anchor:middle;" o:spid="_x0000_s1054" o:allowincell="t" o:allowoverlap="t" filled="f" stroked="f" strokeweight="0.5pt" o:spt="202" type="#_x0000_t202">
                <v:fill/>
                <v:textbox style="layout-flow:horizontal;">
                  <w:txbxContent>
                    <w:p>
                      <w:pPr>
                        <w:pStyle w:val="0"/>
                        <w:spacing w:line="220" w:lineRule="exact"/>
                        <w:jc w:val="left"/>
                        <w:rPr>
                          <w:rFonts w:hint="default" w:ascii="ＭＳ Ｐゴシック" w:hAnsi="ＭＳ Ｐゴシック" w:eastAsia="ＭＳ Ｐゴシック"/>
                          <w:sz w:val="16"/>
                        </w:rPr>
                      </w:pPr>
                    </w:p>
                  </w:txbxContent>
                </v:textbox>
                <v:imagedata o:title=""/>
                <w10:wrap type="none" anchorx="margin" anchory="text"/>
              </v:shape>
            </w:pict>
          </mc:Fallback>
        </mc:AlternateContent>
      </w:r>
    </w:p>
    <w:p w:rsidR="00584782" w:rsidRDefault="003A4011">
      <w:pPr>
        <w:rPr>
          <w:rFonts w:ascii="ＭＳ Ｐゴシック" w:eastAsia="ＭＳ Ｐゴシック" w:hAnsi="ＭＳ Ｐゴシック"/>
        </w:rPr>
      </w:pPr>
      <w:r>
        <w:rPr>
          <w:rFonts w:ascii="ＭＳ Ｐゴシック" w:eastAsia="ＭＳ Ｐゴシック" w:hAnsi="ＭＳ Ｐゴシック" w:hint="eastAsia"/>
        </w:rPr>
        <w:t>図表</w:t>
      </w:r>
      <w:r>
        <w:rPr>
          <w:rFonts w:ascii="ＭＳ Ｐゴシック" w:eastAsia="ＭＳ Ｐゴシック" w:hAnsi="ＭＳ Ｐゴシック"/>
        </w:rPr>
        <w:t>25</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Ⅱ度高血圧以上者の前年度からの変化（継続受診者）</w:t>
      </w:r>
    </w:p>
    <w:p w:rsidR="00584782" w:rsidRDefault="003A4011">
      <w:pPr>
        <w:rPr>
          <w:rFonts w:ascii="ＭＳ Ｐゴシック" w:eastAsia="ＭＳ Ｐゴシック" w:hAnsi="ＭＳ Ｐゴシック"/>
        </w:rPr>
      </w:pPr>
      <w:r>
        <w:rPr>
          <w:rFonts w:hint="eastAsia"/>
          <w:noProof/>
        </w:rPr>
        <w:drawing>
          <wp:inline distT="0" distB="0" distL="203200" distR="203200">
            <wp:extent cx="6066790" cy="1371600"/>
            <wp:effectExtent l="0" t="0" r="0" b="0"/>
            <wp:docPr id="1055" name="オブジェクト 0"/>
            <wp:cNvGraphicFramePr/>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32"/>
                    <a:stretch>
                      <a:fillRect/>
                    </a:stretch>
                  </pic:blipFill>
                  <pic:spPr>
                    <a:xfrm>
                      <a:off x="0" y="0"/>
                      <a:ext cx="6066790" cy="1371600"/>
                    </a:xfrm>
                    <a:prstGeom prst="rect">
                      <a:avLst/>
                    </a:prstGeom>
                  </pic:spPr>
                </pic:pic>
              </a:graphicData>
            </a:graphic>
          </wp:inline>
        </w:drawing>
      </w:r>
    </w:p>
    <w:p w:rsidR="00584782" w:rsidRDefault="003A4011">
      <w:pPr>
        <w:ind w:firstLineChars="4150" w:firstLine="6640"/>
      </w:pPr>
      <w:r>
        <w:rPr>
          <w:rFonts w:ascii="ＭＳ Ｐゴシック" w:eastAsia="ＭＳ Ｐゴシック" w:hAnsi="ＭＳ Ｐゴシック" w:hint="eastAsia"/>
          <w:sz w:val="16"/>
        </w:rPr>
        <w:lastRenderedPageBreak/>
        <w:t>出典・参照：</w:t>
      </w:r>
      <w:r>
        <w:rPr>
          <w:rFonts w:ascii="ＭＳ Ｐゴシック" w:eastAsia="ＭＳ Ｐゴシック" w:hAnsi="ＭＳ Ｐゴシック" w:hint="eastAsia"/>
          <w:sz w:val="18"/>
        </w:rPr>
        <w:t>特定健診等ﾃﾞｰﾀ管理ｼｽﾃﾑ</w:t>
      </w:r>
    </w:p>
    <w:p w:rsidR="00584782" w:rsidRDefault="003A4011">
      <w:pPr>
        <w:rPr>
          <w:rFonts w:ascii="ＭＳ Ｐゴシック" w:eastAsia="ＭＳ Ｐゴシック" w:hAnsi="ＭＳ Ｐゴシック"/>
        </w:rPr>
      </w:pPr>
      <w:r>
        <w:rPr>
          <w:rFonts w:ascii="ＭＳ Ｐゴシック" w:eastAsia="ＭＳ Ｐゴシック" w:hAnsi="ＭＳ Ｐゴシック" w:hint="eastAsia"/>
        </w:rPr>
        <w:t>図表</w:t>
      </w:r>
      <w:r>
        <w:rPr>
          <w:rFonts w:ascii="ＭＳ Ｐゴシック" w:eastAsia="ＭＳ Ｐゴシック" w:hAnsi="ＭＳ Ｐゴシック"/>
        </w:rPr>
        <w:t>26</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LDL160</w:t>
      </w:r>
      <w:r>
        <w:rPr>
          <w:rFonts w:ascii="ＭＳ Ｐゴシック" w:eastAsia="ＭＳ Ｐゴシック" w:hAnsi="ＭＳ Ｐゴシック" w:hint="eastAsia"/>
        </w:rPr>
        <w:t>以上者の前年度からの変化（継続受診者）</w:t>
      </w:r>
    </w:p>
    <w:p w:rsidR="00584782" w:rsidRDefault="003A4011">
      <w:r>
        <w:rPr>
          <w:rFonts w:hint="eastAsia"/>
          <w:noProof/>
        </w:rPr>
        <w:drawing>
          <wp:inline distT="0" distB="0" distL="203200" distR="203200">
            <wp:extent cx="6067425" cy="1371600"/>
            <wp:effectExtent l="0" t="0" r="0" b="0"/>
            <wp:docPr id="1056" name="オブジェクト 0"/>
            <wp:cNvGraphicFramePr/>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33"/>
                    <a:stretch>
                      <a:fillRect/>
                    </a:stretch>
                  </pic:blipFill>
                  <pic:spPr>
                    <a:xfrm>
                      <a:off x="0" y="0"/>
                      <a:ext cx="6067425" cy="1371600"/>
                    </a:xfrm>
                    <a:prstGeom prst="rect">
                      <a:avLst/>
                    </a:prstGeom>
                  </pic:spPr>
                </pic:pic>
              </a:graphicData>
            </a:graphic>
          </wp:inline>
        </w:drawing>
      </w:r>
    </w:p>
    <w:p w:rsidR="00584782" w:rsidRDefault="003A4011">
      <w:pPr>
        <w:ind w:leftChars="400" w:left="840" w:firstLineChars="3650" w:firstLine="5840"/>
        <w:rPr>
          <w:rFonts w:ascii="ＭＳ Ｐゴシック" w:eastAsia="ＭＳ Ｐゴシック" w:hAnsi="ＭＳ Ｐゴシック"/>
          <w:sz w:val="22"/>
        </w:rPr>
      </w:pPr>
      <w:r>
        <w:rPr>
          <w:rFonts w:ascii="ＭＳ Ｐゴシック" w:eastAsia="ＭＳ Ｐゴシック" w:hAnsi="ＭＳ Ｐゴシック" w:hint="eastAsia"/>
          <w:sz w:val="16"/>
        </w:rPr>
        <w:t>出典・参照：</w:t>
      </w:r>
      <w:r>
        <w:rPr>
          <w:rFonts w:ascii="ＭＳ Ｐゴシック" w:eastAsia="ＭＳ Ｐゴシック" w:hAnsi="ＭＳ Ｐゴシック" w:hint="eastAsia"/>
          <w:sz w:val="18"/>
        </w:rPr>
        <w:t>特定健診等ﾃﾞｰﾀ管理ｼｽﾃﾑ</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④健診受診率及び保健指導実施率の推移</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本町の特定健診受診率は、平成</w:t>
      </w:r>
      <w:r>
        <w:rPr>
          <w:rFonts w:ascii="ＭＳ Ｐゴシック" w:eastAsia="ＭＳ Ｐゴシック" w:hAnsi="ＭＳ Ｐゴシック" w:hint="eastAsia"/>
          <w:sz w:val="22"/>
        </w:rPr>
        <w:t>30</w:t>
      </w:r>
      <w:r>
        <w:rPr>
          <w:rFonts w:ascii="ＭＳ Ｐゴシック" w:eastAsia="ＭＳ Ｐゴシック" w:hAnsi="ＭＳ Ｐゴシック" w:hint="eastAsia"/>
          <w:sz w:val="22"/>
        </w:rPr>
        <w:t>年度には</w:t>
      </w:r>
      <w:r>
        <w:rPr>
          <w:rFonts w:ascii="ＭＳ Ｐゴシック" w:eastAsia="ＭＳ Ｐゴシック" w:hAnsi="ＭＳ Ｐゴシック" w:hint="eastAsia"/>
          <w:sz w:val="22"/>
        </w:rPr>
        <w:t>47.7%</w:t>
      </w:r>
      <w:r>
        <w:rPr>
          <w:rFonts w:ascii="ＭＳ Ｐゴシック" w:eastAsia="ＭＳ Ｐゴシック" w:hAnsi="ＭＳ Ｐゴシック" w:hint="eastAsia"/>
          <w:sz w:val="22"/>
        </w:rPr>
        <w:t>まで伸びましたが、新型コロナ感染症の影響で、</w:t>
      </w:r>
      <w:r>
        <w:rPr>
          <w:rFonts w:ascii="ＭＳ Ｐゴシック" w:eastAsia="ＭＳ Ｐゴシック" w:hAnsi="ＭＳ Ｐゴシック" w:hint="eastAsia"/>
          <w:sz w:val="22"/>
        </w:rPr>
        <w:t>R02</w:t>
      </w:r>
      <w:r>
        <w:rPr>
          <w:rFonts w:ascii="ＭＳ Ｐゴシック" w:eastAsia="ＭＳ Ｐゴシック" w:hAnsi="ＭＳ Ｐゴシック" w:hint="eastAsia"/>
          <w:sz w:val="22"/>
        </w:rPr>
        <w:t>年度以降は受診率が低迷しており、第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期特定健診等実施計画の目標は達成できていません。（図表</w:t>
      </w:r>
      <w:r>
        <w:rPr>
          <w:rFonts w:ascii="ＭＳ Ｐゴシック" w:eastAsia="ＭＳ Ｐゴシック" w:hAnsi="ＭＳ Ｐゴシック" w:hint="eastAsia"/>
          <w:sz w:val="22"/>
        </w:rPr>
        <w:t>27</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またこれまで早期からの生活習慣病対策を目的に</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歳未満の若年者向けの健診も実施してきましたが、特定健診の年代別の受診率では、</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50</w:t>
      </w:r>
      <w:r>
        <w:rPr>
          <w:rFonts w:ascii="ＭＳ Ｐゴシック" w:eastAsia="ＭＳ Ｐゴシック" w:hAnsi="ＭＳ Ｐゴシック" w:hint="eastAsia"/>
          <w:sz w:val="22"/>
        </w:rPr>
        <w:t>代は特に低い状況が続いています。（図表</w:t>
      </w:r>
      <w:r>
        <w:rPr>
          <w:rFonts w:ascii="ＭＳ Ｐゴシック" w:eastAsia="ＭＳ Ｐゴシック" w:hAnsi="ＭＳ Ｐゴシック" w:hint="eastAsia"/>
          <w:sz w:val="22"/>
        </w:rPr>
        <w:t>28</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color w:val="2E74B5" w:themeColor="accent1" w:themeShade="BF"/>
          <w:sz w:val="18"/>
        </w:rPr>
      </w:pPr>
      <w:r>
        <w:rPr>
          <w:rFonts w:ascii="ＭＳ Ｐゴシック" w:eastAsia="ＭＳ Ｐゴシック" w:hAnsi="ＭＳ Ｐゴシック" w:hint="eastAsia"/>
          <w:sz w:val="22"/>
        </w:rPr>
        <w:t>特定保健指導については、実施率目標値の</w:t>
      </w:r>
      <w:r>
        <w:rPr>
          <w:rFonts w:ascii="ＭＳ Ｐゴシック" w:eastAsia="ＭＳ Ｐゴシック" w:hAnsi="ＭＳ Ｐゴシック" w:hint="eastAsia"/>
          <w:sz w:val="22"/>
        </w:rPr>
        <w:t>60</w:t>
      </w:r>
      <w:r>
        <w:rPr>
          <w:rFonts w:ascii="ＭＳ Ｐゴシック" w:eastAsia="ＭＳ Ｐゴシック" w:hAnsi="ＭＳ Ｐゴシック" w:hint="eastAsia"/>
          <w:sz w:val="22"/>
        </w:rPr>
        <w:t>％に届いていない状況下にあります。生活習慣病の発症予防・重症化予防のため、引き続き特定保健指導率の向上に努めたいと思います。</w:t>
      </w: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rPr>
        <w:t>図表</w:t>
      </w:r>
      <w:r>
        <w:rPr>
          <w:rFonts w:ascii="ＭＳ Ｐゴシック" w:eastAsia="ＭＳ Ｐゴシック" w:hAnsi="ＭＳ Ｐゴシック"/>
        </w:rPr>
        <w:t>27</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特定健診・特定保健指導の推移</w:t>
      </w:r>
    </w:p>
    <w:p w:rsidR="00584782" w:rsidRDefault="003A4011">
      <w:pPr>
        <w:rPr>
          <w:rFonts w:ascii="ＭＳ Ｐゴシック" w:eastAsia="ＭＳ Ｐゴシック" w:hAnsi="ＭＳ Ｐゴシック"/>
          <w:sz w:val="24"/>
        </w:rPr>
      </w:pPr>
      <w:r>
        <w:rPr>
          <w:rFonts w:hint="eastAsia"/>
          <w:noProof/>
        </w:rPr>
        <w:drawing>
          <wp:inline distT="0" distB="0" distL="203200" distR="203200">
            <wp:extent cx="5995670" cy="2057400"/>
            <wp:effectExtent l="0" t="0" r="0" b="0"/>
            <wp:docPr id="1057" name="オブジェクト 0"/>
            <wp:cNvGraphicFramePr/>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4"/>
                    <a:stretch>
                      <a:fillRect/>
                    </a:stretch>
                  </pic:blipFill>
                  <pic:spPr>
                    <a:xfrm>
                      <a:off x="0" y="0"/>
                      <a:ext cx="5995670" cy="2057400"/>
                    </a:xfrm>
                    <a:prstGeom prst="rect">
                      <a:avLst/>
                    </a:prstGeom>
                  </pic:spPr>
                </pic:pic>
              </a:graphicData>
            </a:graphic>
          </wp:inline>
        </w:drawing>
      </w:r>
    </w:p>
    <w:p w:rsidR="00584782" w:rsidRDefault="003A4011">
      <w:pPr>
        <w:ind w:firstLineChars="3800" w:firstLine="6080"/>
        <w:rPr>
          <w:rFonts w:ascii="ＭＳ Ｐゴシック" w:eastAsia="ＭＳ Ｐゴシック" w:hAnsi="ＭＳ Ｐゴシック"/>
          <w:sz w:val="24"/>
        </w:rPr>
      </w:pPr>
      <w:r>
        <w:rPr>
          <w:rFonts w:ascii="ＭＳ Ｐゴシック" w:eastAsia="ＭＳ Ｐゴシック" w:hAnsi="ＭＳ Ｐゴシック" w:hint="eastAsia"/>
          <w:sz w:val="16"/>
        </w:rPr>
        <w:t xml:space="preserve">　　　　　　　　出典・参照：特定健診法定報告データ</w:t>
      </w: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rPr>
        <w:t>図表</w:t>
      </w:r>
      <w:r>
        <w:rPr>
          <w:rFonts w:ascii="ＭＳ Ｐゴシック" w:eastAsia="ＭＳ Ｐゴシック" w:hAnsi="ＭＳ Ｐゴシック"/>
        </w:rPr>
        <w:t xml:space="preserve">28 </w:t>
      </w:r>
      <w:r>
        <w:rPr>
          <w:rFonts w:ascii="ＭＳ Ｐゴシック" w:eastAsia="ＭＳ Ｐゴシック" w:hAnsi="ＭＳ Ｐゴシック" w:hint="eastAsia"/>
        </w:rPr>
        <w:t>年代別特定健診受診率の推移</w:t>
      </w:r>
    </w:p>
    <w:p w:rsidR="00584782" w:rsidRDefault="003A4011">
      <w:pPr>
        <w:rPr>
          <w:rFonts w:ascii="ＭＳ Ｐゴシック" w:eastAsia="ＭＳ Ｐゴシック" w:hAnsi="ＭＳ Ｐゴシック"/>
          <w:sz w:val="24"/>
        </w:rPr>
      </w:pPr>
      <w:r>
        <w:rPr>
          <w:rFonts w:hint="eastAsia"/>
          <w:noProof/>
        </w:rPr>
        <w:drawing>
          <wp:inline distT="0" distB="0" distL="203200" distR="203200">
            <wp:extent cx="5849620" cy="3556000"/>
            <wp:effectExtent l="0" t="0" r="0" b="0"/>
            <wp:docPr id="1058" name="オブジェクト 0"/>
            <wp:cNvGraphicFramePr/>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5"/>
                    <a:stretch>
                      <a:fillRect/>
                    </a:stretch>
                  </pic:blipFill>
                  <pic:spPr>
                    <a:xfrm>
                      <a:off x="0" y="0"/>
                      <a:ext cx="5849620" cy="3556000"/>
                    </a:xfrm>
                    <a:prstGeom prst="rect">
                      <a:avLst/>
                    </a:prstGeom>
                  </pic:spPr>
                </pic:pic>
              </a:graphicData>
            </a:graphic>
          </wp:inline>
        </w:drawing>
      </w:r>
    </w:p>
    <w:p w:rsidR="00584782" w:rsidRDefault="003A4011">
      <w:pPr>
        <w:ind w:firstLineChars="3400" w:firstLine="6120"/>
        <w:rPr>
          <w:rFonts w:ascii="ＭＳ Ｐゴシック" w:eastAsia="ＭＳ Ｐゴシック" w:hAnsi="ＭＳ Ｐゴシック"/>
          <w:sz w:val="24"/>
        </w:rPr>
      </w:pPr>
      <w:r>
        <w:rPr>
          <w:rFonts w:ascii="ＭＳ Ｐゴシック" w:eastAsia="ＭＳ Ｐゴシック" w:hAnsi="ＭＳ Ｐゴシック" w:hint="eastAsia"/>
          <w:sz w:val="18"/>
        </w:rPr>
        <w:t>出典・参照：特定健診等ﾃﾞｰﾀ管理ｼｽﾃﾑ</w:t>
      </w: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sz w:val="24"/>
        </w:rPr>
        <w:t>２）主な個別事業の評価と課題</w:t>
      </w: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sz w:val="24"/>
        </w:rPr>
        <w:t>（１）重症化予防の取組み</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①糖尿病性腎症重症化予防</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HbA1c6.5</w:t>
      </w:r>
      <w:r>
        <w:rPr>
          <w:rFonts w:ascii="ＭＳ Ｐゴシック" w:eastAsia="ＭＳ Ｐゴシック" w:hAnsi="ＭＳ Ｐゴシック" w:hint="eastAsia"/>
          <w:sz w:val="22"/>
        </w:rPr>
        <w:t>％以上の血糖値有所見者への保健指導実施の割合は、対象者の約</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割に実施してきました。血糖値有所見者や未治療・中断の割合は横ばいで推移しています。（表</w:t>
      </w:r>
      <w:r>
        <w:rPr>
          <w:rFonts w:ascii="ＭＳ Ｐゴシック" w:eastAsia="ＭＳ Ｐゴシック" w:hAnsi="ＭＳ Ｐゴシック" w:hint="eastAsia"/>
          <w:sz w:val="22"/>
        </w:rPr>
        <w:t>1,2</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年度からは</w:t>
      </w:r>
      <w:r>
        <w:rPr>
          <w:rFonts w:ascii="ＭＳ Ｐゴシック" w:eastAsia="ＭＳ Ｐゴシック" w:hAnsi="ＭＳ Ｐゴシック" w:hint="eastAsia"/>
          <w:sz w:val="22"/>
        </w:rPr>
        <w:t>HbA1c8%</w:t>
      </w:r>
      <w:r>
        <w:rPr>
          <w:rFonts w:ascii="ＭＳ Ｐゴシック" w:eastAsia="ＭＳ Ｐゴシック" w:hAnsi="ＭＳ Ｐゴシック" w:hint="eastAsia"/>
          <w:sz w:val="22"/>
        </w:rPr>
        <w:t>以上の高血糖者を優先対象者とし重点的に支援してきましたが、</w:t>
      </w:r>
      <w:r>
        <w:rPr>
          <w:rFonts w:ascii="ＭＳ Ｐゴシック" w:eastAsia="ＭＳ Ｐゴシック" w:hAnsi="ＭＳ Ｐゴシック" w:hint="eastAsia"/>
          <w:sz w:val="22"/>
        </w:rPr>
        <w:t>HbA1c8</w:t>
      </w:r>
      <w:r>
        <w:rPr>
          <w:rFonts w:ascii="ＭＳ Ｐゴシック" w:eastAsia="ＭＳ Ｐゴシック" w:hAnsi="ＭＳ Ｐゴシック" w:hint="eastAsia"/>
          <w:sz w:val="22"/>
        </w:rPr>
        <w:t>％以上の未治療者は減少していません。また、未治療者の多くが治療につながっていないことから、病院を受診していない方には継続フォローが必要であり、さらに保健指導体制を強化し受診できるための支援を行うことが求められます</w:t>
      </w:r>
      <w:r>
        <w:rPr>
          <w:rFonts w:ascii="ＭＳ Ｐゴシック" w:eastAsia="ＭＳ Ｐゴシック" w:hAnsi="ＭＳ Ｐゴシック" w:hint="eastAsia"/>
          <w:color w:val="2E74B5" w:themeColor="accent1" w:themeShade="BF"/>
          <w:sz w:val="22"/>
        </w:rPr>
        <w:t>。</w:t>
      </w:r>
      <w:r>
        <w:rPr>
          <w:rFonts w:ascii="ＭＳ Ｐゴシック" w:eastAsia="ＭＳ Ｐゴシック" w:hAnsi="ＭＳ Ｐゴシック" w:hint="eastAsia"/>
          <w:sz w:val="22"/>
        </w:rPr>
        <w:t>（表</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さらに肥満があるとインスリン抵抗性</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を引き起こし血糖悪化の原因となるため、治療中の方については医療と連携して行政においても保健師・管理栄養士が保健指導・栄養指導を行い、血糖改善の支援を引き続き行っていきます。</w:t>
      </w:r>
    </w:p>
    <w:p w:rsidR="00584782" w:rsidRDefault="00584782">
      <w:pPr>
        <w:rPr>
          <w:rFonts w:ascii="ＭＳ Ｐゴシック" w:eastAsia="ＭＳ Ｐゴシック" w:hAnsi="ＭＳ Ｐゴシック"/>
          <w:sz w:val="18"/>
        </w:rPr>
      </w:pPr>
    </w:p>
    <w:p w:rsidR="00584782" w:rsidRDefault="003A4011">
      <w:pPr>
        <w:rPr>
          <w:rFonts w:ascii="ＭＳ Ｐゴシック" w:eastAsia="ＭＳ Ｐゴシック" w:hAnsi="ＭＳ Ｐゴシック"/>
          <w:sz w:val="18"/>
        </w:rPr>
      </w:pPr>
      <w:r>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w:t>
      </w:r>
    </w:p>
    <w:p w:rsidR="00584782" w:rsidRDefault="003A4011">
      <w:pPr>
        <w:rPr>
          <w:rFonts w:ascii="ＭＳ Ｐゴシック" w:eastAsia="ＭＳ Ｐゴシック" w:hAnsi="ＭＳ Ｐゴシック"/>
          <w:sz w:val="18"/>
        </w:rPr>
      </w:pPr>
      <w:r>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1</w:t>
      </w:r>
      <w:r>
        <w:rPr>
          <w:rFonts w:ascii="ＭＳ Ｐゴシック" w:eastAsia="ＭＳ Ｐゴシック" w:hAnsi="ＭＳ Ｐゴシック" w:hint="eastAsia"/>
          <w:sz w:val="18"/>
        </w:rPr>
        <w:t>インスリン抵抗性：血中インスリン濃度に見合ったインスリン作用が得られない状態</w:t>
      </w: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rPr>
      </w:pPr>
    </w:p>
    <w:p w:rsidR="00584782" w:rsidRDefault="003A4011">
      <w:pPr>
        <w:rPr>
          <w:rFonts w:ascii="ＭＳ Ｐゴシック" w:eastAsia="ＭＳ Ｐゴシック" w:hAnsi="ＭＳ Ｐゴシック"/>
        </w:rPr>
      </w:pPr>
      <w:r>
        <w:rPr>
          <w:rFonts w:ascii="ＭＳ Ｐゴシック" w:eastAsia="ＭＳ Ｐゴシック" w:hAnsi="ＭＳ Ｐゴシック" w:hint="eastAsia"/>
        </w:rPr>
        <w:t>表</w:t>
      </w:r>
      <w:r>
        <w:rPr>
          <w:rFonts w:ascii="ＭＳ Ｐゴシック" w:eastAsia="ＭＳ Ｐゴシック" w:hAnsi="ＭＳ Ｐゴシック" w:hint="eastAsia"/>
        </w:rPr>
        <w:t>1</w:t>
      </w:r>
      <w:r>
        <w:rPr>
          <w:rFonts w:ascii="ＭＳ Ｐゴシック" w:eastAsia="ＭＳ Ｐゴシック" w:hAnsi="ＭＳ Ｐゴシック" w:hint="eastAsia"/>
        </w:rPr>
        <w:t xml:space="preserve">　糖尿病性腎症重症化予防対象者</w:t>
      </w:r>
    </w:p>
    <w:p w:rsidR="00584782" w:rsidRDefault="003A4011">
      <w:pPr>
        <w:rPr>
          <w:rFonts w:ascii="ＭＳ Ｐゴシック" w:eastAsia="ＭＳ Ｐゴシック" w:hAnsi="ＭＳ Ｐゴシック"/>
        </w:rPr>
      </w:pPr>
      <w:r>
        <w:rPr>
          <w:rFonts w:hint="eastAsia"/>
          <w:noProof/>
        </w:rPr>
        <w:drawing>
          <wp:inline distT="0" distB="0" distL="203200" distR="203200">
            <wp:extent cx="5849620" cy="1525270"/>
            <wp:effectExtent l="0" t="0" r="0" b="0"/>
            <wp:docPr id="1059" name="オブジェクト 0"/>
            <wp:cNvGraphicFramePr/>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36"/>
                    <a:stretch>
                      <a:fillRect/>
                    </a:stretch>
                  </pic:blipFill>
                  <pic:spPr>
                    <a:xfrm>
                      <a:off x="0" y="0"/>
                      <a:ext cx="5849620" cy="1525270"/>
                    </a:xfrm>
                    <a:prstGeom prst="rect">
                      <a:avLst/>
                    </a:prstGeom>
                  </pic:spPr>
                </pic:pic>
              </a:graphicData>
            </a:graphic>
          </wp:inline>
        </w:drawing>
      </w:r>
    </w:p>
    <w:p w:rsidR="00584782" w:rsidRDefault="00584782">
      <w:pPr>
        <w:rPr>
          <w:rFonts w:ascii="ＭＳ Ｐゴシック" w:eastAsia="ＭＳ Ｐゴシック" w:hAnsi="ＭＳ Ｐゴシック"/>
        </w:rPr>
      </w:pPr>
    </w:p>
    <w:p w:rsidR="00584782" w:rsidRDefault="003A4011">
      <w:pPr>
        <w:rPr>
          <w:rFonts w:ascii="ＭＳ Ｐゴシック" w:eastAsia="ＭＳ Ｐゴシック" w:hAnsi="ＭＳ Ｐゴシック"/>
        </w:rPr>
      </w:pPr>
      <w:r>
        <w:rPr>
          <w:rFonts w:ascii="ＭＳ Ｐゴシック" w:eastAsia="ＭＳ Ｐゴシック" w:hAnsi="ＭＳ Ｐゴシック" w:hint="eastAsia"/>
        </w:rPr>
        <w:t>表</w:t>
      </w:r>
      <w:r>
        <w:rPr>
          <w:rFonts w:ascii="ＭＳ Ｐゴシック" w:eastAsia="ＭＳ Ｐゴシック" w:hAnsi="ＭＳ Ｐゴシック" w:hint="eastAsia"/>
        </w:rPr>
        <w:t>2</w:t>
      </w:r>
      <w:r>
        <w:rPr>
          <w:rFonts w:ascii="ＭＳ Ｐゴシック" w:eastAsia="ＭＳ Ｐゴシック" w:hAnsi="ＭＳ Ｐゴシック" w:hint="eastAsia"/>
        </w:rPr>
        <w:t xml:space="preserve">　治療が必要な者の適切な受診</w:t>
      </w:r>
    </w:p>
    <w:p w:rsidR="00584782" w:rsidRDefault="003A4011">
      <w:pPr>
        <w:rPr>
          <w:rFonts w:ascii="ＭＳ Ｐゴシック" w:eastAsia="ＭＳ Ｐゴシック" w:hAnsi="ＭＳ Ｐゴシック"/>
        </w:rPr>
      </w:pPr>
      <w:r>
        <w:rPr>
          <w:rFonts w:hint="eastAsia"/>
          <w:noProof/>
        </w:rPr>
        <w:drawing>
          <wp:inline distT="0" distB="0" distL="203200" distR="203200">
            <wp:extent cx="5849620" cy="1126490"/>
            <wp:effectExtent l="0" t="0" r="0" b="0"/>
            <wp:docPr id="1060" name="オブジェクト 0"/>
            <wp:cNvGraphicFramePr/>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37"/>
                    <a:stretch>
                      <a:fillRect/>
                    </a:stretch>
                  </pic:blipFill>
                  <pic:spPr>
                    <a:xfrm>
                      <a:off x="0" y="0"/>
                      <a:ext cx="5849620" cy="1126490"/>
                    </a:xfrm>
                    <a:prstGeom prst="rect">
                      <a:avLst/>
                    </a:prstGeom>
                  </pic:spPr>
                </pic:pic>
              </a:graphicData>
            </a:graphic>
          </wp:inline>
        </w:drawing>
      </w:r>
    </w:p>
    <w:p w:rsidR="00584782" w:rsidRDefault="00584782">
      <w:pPr>
        <w:rPr>
          <w:rFonts w:ascii="ＭＳ Ｐゴシック" w:eastAsia="ＭＳ Ｐゴシック" w:hAnsi="ＭＳ Ｐゴシック"/>
        </w:rPr>
      </w:pPr>
    </w:p>
    <w:p w:rsidR="00584782" w:rsidRDefault="003A4011">
      <w:pPr>
        <w:rPr>
          <w:rFonts w:ascii="ＭＳ Ｐゴシック" w:eastAsia="ＭＳ Ｐゴシック" w:hAnsi="ＭＳ Ｐゴシック"/>
        </w:rPr>
      </w:pPr>
      <w:r>
        <w:rPr>
          <w:rFonts w:ascii="ＭＳ Ｐゴシック" w:eastAsia="ＭＳ Ｐゴシック" w:hAnsi="ＭＳ Ｐゴシック" w:hint="eastAsia"/>
        </w:rPr>
        <w:t>表</w:t>
      </w:r>
      <w:r>
        <w:rPr>
          <w:rFonts w:ascii="ＭＳ Ｐゴシック" w:eastAsia="ＭＳ Ｐゴシック" w:hAnsi="ＭＳ Ｐゴシック" w:hint="eastAsia"/>
        </w:rPr>
        <w:t>3</w:t>
      </w:r>
      <w:r>
        <w:rPr>
          <w:rFonts w:ascii="ＭＳ Ｐゴシック" w:eastAsia="ＭＳ Ｐゴシック" w:hAnsi="ＭＳ Ｐゴシック" w:hint="eastAsia"/>
        </w:rPr>
        <w:t xml:space="preserve">　</w:t>
      </w:r>
      <w:r>
        <w:rPr>
          <w:rFonts w:ascii="ＭＳ Ｐゴシック" w:eastAsia="ＭＳ Ｐゴシック" w:hAnsi="ＭＳ Ｐゴシック" w:hint="eastAsia"/>
        </w:rPr>
        <w:t>HbA1</w:t>
      </w:r>
      <w:r>
        <w:rPr>
          <w:rFonts w:ascii="ＭＳ Ｐゴシック" w:eastAsia="ＭＳ Ｐゴシック" w:hAnsi="ＭＳ Ｐゴシック" w:hint="eastAsia"/>
        </w:rPr>
        <w:t>ｃ</w:t>
      </w:r>
      <w:r>
        <w:rPr>
          <w:rFonts w:ascii="ＭＳ Ｐゴシック" w:eastAsia="ＭＳ Ｐゴシック" w:hAnsi="ＭＳ Ｐゴシック" w:hint="eastAsia"/>
        </w:rPr>
        <w:t>8.0</w:t>
      </w:r>
      <w:r>
        <w:rPr>
          <w:rFonts w:ascii="ＭＳ Ｐゴシック" w:eastAsia="ＭＳ Ｐゴシック" w:hAnsi="ＭＳ Ｐゴシック" w:hint="eastAsia"/>
        </w:rPr>
        <w:t>以上の状況（アウトカム評価）</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7425" cy="2327275"/>
            <wp:effectExtent l="0" t="0" r="0" b="0"/>
            <wp:docPr id="1061" name="オブジェクト 0"/>
            <wp:cNvGraphicFramePr/>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38"/>
                    <a:stretch>
                      <a:fillRect/>
                    </a:stretch>
                  </pic:blipFill>
                  <pic:spPr>
                    <a:xfrm>
                      <a:off x="0" y="0"/>
                      <a:ext cx="6067425" cy="2327275"/>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②脳血管疾患重症化予防対策</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血圧Ⅱ度以上の者の割合は約</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割の横ばいで、約</w:t>
      </w:r>
      <w:r>
        <w:rPr>
          <w:rFonts w:ascii="ＭＳ Ｐゴシック" w:eastAsia="ＭＳ Ｐゴシック" w:hAnsi="ＭＳ Ｐゴシック" w:hint="eastAsia"/>
          <w:sz w:val="22"/>
        </w:rPr>
        <w:t>8</w:t>
      </w:r>
      <w:r>
        <w:rPr>
          <w:rFonts w:ascii="ＭＳ Ｐゴシック" w:eastAsia="ＭＳ Ｐゴシック" w:hAnsi="ＭＳ Ｐゴシック" w:hint="eastAsia"/>
          <w:sz w:val="22"/>
        </w:rPr>
        <w:t>割が治療中となっています。未治療者を保健指導後確実に治療へつなげるため、受診勧奨の取り組みの強化が必要です。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高血圧は、脳心血管において最大の危険因子であり、要介護認定の原因の一つでもあり、高血圧以外の危険因子との組み合わせにより、脳、心、腎疾患など臓器障害の程度と深く関与しています。（表</w:t>
      </w:r>
      <w:r>
        <w:rPr>
          <w:rFonts w:ascii="ＭＳ Ｐゴシック" w:eastAsia="ＭＳ Ｐゴシック" w:hAnsi="ＭＳ Ｐゴシック" w:hint="eastAsia"/>
          <w:sz w:val="22"/>
        </w:rPr>
        <w:t>7</w:t>
      </w:r>
      <w:r>
        <w:rPr>
          <w:rFonts w:ascii="ＭＳ Ｐゴシック" w:eastAsia="ＭＳ Ｐゴシック" w:hAnsi="ＭＳ Ｐゴシック" w:hint="eastAsia"/>
          <w:sz w:val="22"/>
        </w:rPr>
        <w:t>）</w:t>
      </w:r>
    </w:p>
    <w:p w:rsidR="00584782" w:rsidRDefault="003A4011">
      <w:pPr>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例示表</w:t>
      </w:r>
      <w:r>
        <w:rPr>
          <w:rFonts w:ascii="ＭＳ Ｐゴシック" w:eastAsia="ＭＳ Ｐゴシック" w:hAnsi="ＭＳ Ｐゴシック" w:hint="eastAsia"/>
          <w:sz w:val="22"/>
        </w:rPr>
        <w:t>8</w:t>
      </w:r>
      <w:r>
        <w:rPr>
          <w:rFonts w:ascii="ＭＳ Ｐゴシック" w:eastAsia="ＭＳ Ｐゴシック" w:hAnsi="ＭＳ Ｐゴシック" w:hint="eastAsia"/>
          <w:sz w:val="22"/>
        </w:rPr>
        <w:t>は、血圧に基づいた脳心血管リスク層別化（降圧薬治療者を除く）です。①高リスクの未治療者（</w:t>
      </w:r>
      <w:r>
        <w:rPr>
          <w:rFonts w:ascii="ＭＳ Ｐゴシック" w:eastAsia="ＭＳ Ｐゴシック" w:hAnsi="ＭＳ Ｐゴシック" w:hint="eastAsia"/>
          <w:sz w:val="22"/>
        </w:rPr>
        <w:t>107</w:t>
      </w:r>
      <w:r>
        <w:rPr>
          <w:rFonts w:ascii="ＭＳ Ｐゴシック" w:eastAsia="ＭＳ Ｐゴシック" w:hAnsi="ＭＳ Ｐゴシック" w:hint="eastAsia"/>
          <w:sz w:val="22"/>
        </w:rPr>
        <w:t>人）、②中等リスクで第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層（糖尿病、尿蛋白等のリスクあり）の未治療者（</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人）を最優先に、治療の必要性を理解してもらうための支援を適切な受診勧奨に取り組んでいきます。高値血圧の者においても、家庭血のすすめ血圧手帳の活用を</w:t>
      </w:r>
      <w:r>
        <w:rPr>
          <w:rFonts w:ascii="ＭＳ Ｐゴシック" w:eastAsia="ＭＳ Ｐゴシック" w:hAnsi="ＭＳ Ｐゴシック" w:hint="eastAsia"/>
          <w:sz w:val="22"/>
        </w:rPr>
        <w:t>促していきます。</w:t>
      </w:r>
    </w:p>
    <w:p w:rsidR="00584782" w:rsidRDefault="00584782">
      <w:pPr>
        <w:rPr>
          <w:rFonts w:ascii="ＭＳ Ｐゴシック" w:eastAsia="ＭＳ Ｐゴシック" w:hAnsi="ＭＳ Ｐゴシック"/>
          <w:color w:val="2E74B5" w:themeColor="accent1" w:themeShade="BF"/>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表</w:t>
      </w:r>
      <w:r>
        <w:rPr>
          <w:rFonts w:ascii="ＭＳ Ｐゴシック" w:eastAsia="ＭＳ Ｐゴシック" w:hAnsi="ＭＳ Ｐゴシック" w:hint="eastAsia"/>
          <w:sz w:val="22"/>
        </w:rPr>
        <w:t>7</w:t>
      </w:r>
      <w:r>
        <w:rPr>
          <w:rFonts w:ascii="ＭＳ Ｐゴシック" w:eastAsia="ＭＳ Ｐゴシック" w:hAnsi="ＭＳ Ｐゴシック" w:hint="eastAsia"/>
          <w:sz w:val="22"/>
        </w:rPr>
        <w:t xml:space="preserve">　</w:t>
      </w:r>
      <w:r>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高血圧Ⅱ度以上の者のうち、未治療者の状況</w:t>
      </w:r>
    </w:p>
    <w:p w:rsidR="00584782" w:rsidRDefault="003A4011">
      <w:pPr>
        <w:rPr>
          <w:rFonts w:ascii="ＭＳ Ｐゴシック" w:eastAsia="ＭＳ Ｐゴシック" w:hAnsi="ＭＳ Ｐゴシック"/>
          <w:color w:val="2E74B5" w:themeColor="accent1" w:themeShade="BF"/>
          <w:sz w:val="22"/>
        </w:rPr>
      </w:pPr>
      <w:r>
        <w:rPr>
          <w:rFonts w:hint="eastAsia"/>
          <w:noProof/>
        </w:rPr>
        <w:drawing>
          <wp:inline distT="0" distB="0" distL="203200" distR="203200">
            <wp:extent cx="5849620" cy="2799080"/>
            <wp:effectExtent l="0" t="0" r="0" b="0"/>
            <wp:docPr id="1062" name="オブジェクト 0"/>
            <wp:cNvGraphicFramePr/>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39"/>
                    <a:stretch>
                      <a:fillRect/>
                    </a:stretch>
                  </pic:blipFill>
                  <pic:spPr>
                    <a:xfrm>
                      <a:off x="0" y="0"/>
                      <a:ext cx="5849620" cy="2799080"/>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rPr>
      </w:pPr>
    </w:p>
    <w:p w:rsidR="00584782" w:rsidRDefault="003A4011">
      <w:pPr>
        <w:rPr>
          <w:rFonts w:ascii="ＭＳ Ｐゴシック" w:eastAsia="ＭＳ Ｐゴシック" w:hAnsi="ＭＳ Ｐゴシック"/>
        </w:rPr>
      </w:pPr>
      <w:r>
        <w:rPr>
          <w:rFonts w:ascii="ＭＳ Ｐゴシック" w:eastAsia="ＭＳ Ｐゴシック" w:hAnsi="ＭＳ Ｐゴシック" w:hint="eastAsia"/>
        </w:rPr>
        <w:t>例示表</w:t>
      </w:r>
      <w:r>
        <w:rPr>
          <w:rFonts w:ascii="ＭＳ Ｐゴシック" w:eastAsia="ＭＳ Ｐゴシック" w:hAnsi="ＭＳ Ｐゴシック"/>
        </w:rPr>
        <w:t>8</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血圧に基づいた脳心血管リスクの層別化</w:t>
      </w:r>
    </w:p>
    <w:p w:rsidR="00584782" w:rsidRDefault="003A4011">
      <w:pPr>
        <w:rPr>
          <w:rFonts w:ascii="ＭＳ Ｐゴシック" w:eastAsia="ＭＳ Ｐゴシック" w:hAnsi="ＭＳ Ｐゴシック"/>
        </w:rPr>
      </w:pPr>
      <w:r>
        <w:rPr>
          <w:rFonts w:hint="eastAsia"/>
          <w:noProof/>
        </w:rPr>
        <w:drawing>
          <wp:inline distT="0" distB="0" distL="203200" distR="203200">
            <wp:extent cx="5849620" cy="3562985"/>
            <wp:effectExtent l="0" t="0" r="0" b="0"/>
            <wp:docPr id="1063" name="オブジェクト 0"/>
            <wp:cNvGraphicFramePr/>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40"/>
                    <a:stretch>
                      <a:fillRect/>
                    </a:stretch>
                  </pic:blipFill>
                  <pic:spPr>
                    <a:xfrm>
                      <a:off x="0" y="0"/>
                      <a:ext cx="5849620" cy="3562985"/>
                    </a:xfrm>
                    <a:prstGeom prst="rect">
                      <a:avLst/>
                    </a:prstGeom>
                  </pic:spPr>
                </pic:pic>
              </a:graphicData>
            </a:graphic>
          </wp:inline>
        </w:drawing>
      </w:r>
    </w:p>
    <w:p w:rsidR="00584782" w:rsidRDefault="00584782">
      <w:pPr>
        <w:rPr>
          <w:rFonts w:ascii="ＭＳ Ｐゴシック" w:eastAsia="ＭＳ Ｐゴシック" w:hAnsi="ＭＳ Ｐゴシック"/>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sz w:val="24"/>
        </w:rPr>
        <w:t>（２）ポピュレーションアプローチ</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標準的な健診・保健指導（令和</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度版）によると、「保健指導は、健診結果及び質問票に基づき、個人の生活習慣を改善するための支援が行われるものであるが、個人の生活は家庭、職場、地域で営まれており、生活習慣は生活環境、風習、職業等の社会的要因や経済的要因に規程されることも大きい。」とされてい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本町</w:t>
      </w:r>
      <w:r>
        <w:rPr>
          <w:rFonts w:ascii="ＭＳ Ｐゴシック" w:eastAsia="ＭＳ Ｐゴシック" w:hAnsi="ＭＳ Ｐゴシック" w:hint="eastAsia"/>
          <w:sz w:val="22"/>
        </w:rPr>
        <w:t>においては、生涯を通じた健康づくりの取組として、一人ひとりの市民が、自分の住む地域の実情を知り、納得した上で健診を受け、健診結果から生活習慣の改善に向けた実践ができるよう支援していきます。</w:t>
      </w:r>
    </w:p>
    <w:p w:rsidR="00584782" w:rsidRDefault="00584782">
      <w:pPr>
        <w:ind w:firstLineChars="100" w:firstLine="220"/>
        <w:rPr>
          <w:rFonts w:ascii="ＭＳ Ｐゴシック" w:eastAsia="ＭＳ Ｐゴシック" w:hAnsi="ＭＳ Ｐゴシック"/>
          <w:color w:val="2E74B5" w:themeColor="accent1" w:themeShade="BF"/>
          <w:sz w:val="22"/>
        </w:rPr>
      </w:pPr>
    </w:p>
    <w:p w:rsidR="00584782" w:rsidRDefault="00584782">
      <w:pPr>
        <w:ind w:firstLineChars="100" w:firstLine="220"/>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4"/>
        </w:rPr>
        <w:t>（３）第</w:t>
      </w:r>
      <w:r>
        <w:rPr>
          <w:rFonts w:ascii="ＭＳ Ｐゴシック" w:eastAsia="ＭＳ Ｐゴシック" w:hAnsi="ＭＳ Ｐゴシック" w:hint="eastAsia"/>
          <w:sz w:val="24"/>
        </w:rPr>
        <w:t>2</w:t>
      </w:r>
      <w:r>
        <w:rPr>
          <w:rFonts w:ascii="ＭＳ Ｐゴシック" w:eastAsia="ＭＳ Ｐゴシック" w:hAnsi="ＭＳ Ｐゴシック" w:hint="eastAsia"/>
          <w:sz w:val="24"/>
        </w:rPr>
        <w:t>期計画目標の達成状況一覧</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7425" cy="7686040"/>
            <wp:effectExtent l="0" t="0" r="0" b="0"/>
            <wp:docPr id="1064" name="オブジェクト 0"/>
            <wp:cNvGraphicFramePr/>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41"/>
                    <a:stretch>
                      <a:fillRect/>
                    </a:stretch>
                  </pic:blipFill>
                  <pic:spPr>
                    <a:xfrm>
                      <a:off x="0" y="0"/>
                      <a:ext cx="6067425" cy="7686040"/>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4"/>
        </w:rPr>
        <w:t>３）　第</w:t>
      </w:r>
      <w:r>
        <w:rPr>
          <w:rFonts w:ascii="ＭＳ Ｐゴシック" w:eastAsia="ＭＳ Ｐゴシック" w:hAnsi="ＭＳ Ｐゴシック" w:hint="eastAsia"/>
          <w:sz w:val="24"/>
        </w:rPr>
        <w:t>2</w:t>
      </w:r>
      <w:r>
        <w:rPr>
          <w:rFonts w:ascii="ＭＳ Ｐゴシック" w:eastAsia="ＭＳ Ｐゴシック" w:hAnsi="ＭＳ Ｐゴシック" w:hint="eastAsia"/>
          <w:sz w:val="24"/>
        </w:rPr>
        <w:t>期データヘルス計画に係る考察</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第</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期計画において、中長期目標疾患である、脳血管疾患、虚血性心疾患、慢性腎不全の</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疾患の重症化予防対策を進めてきました。その結果、医療費からみて、脳血管疾患、虚血性心疾患の総医療費に占める割合については減少していますが、一方で、慢性腎不全（透析あり）の総医療費に占める割合が増加しています。このことから、人工透析につながる生活習慣病の重症化予防が重要と考え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糖尿病は、脳血管疾患や虚血性心疾患などの発症リスクを高め、重症化すると腎臓機能の低下など様々な合併症を引き起こし、さらに慢性的な腎不全に陥ると人口透析を余儀なくされます。糖尿病が重症化し透析療法が必要となった場合、生活の質が著し</w:t>
      </w:r>
      <w:r>
        <w:rPr>
          <w:rFonts w:ascii="ＭＳ Ｐゴシック" w:eastAsia="ＭＳ Ｐゴシック" w:hAnsi="ＭＳ Ｐゴシック" w:hint="eastAsia"/>
          <w:sz w:val="22"/>
        </w:rPr>
        <w:t>く低下するだけではなく、過度な医療費の増加につながることから、引き続き重症化予防対策を実施していく必要があります。</w:t>
      </w:r>
    </w:p>
    <w:p w:rsidR="00584782" w:rsidRDefault="003A4011">
      <w:pPr>
        <w:rPr>
          <w:rFonts w:ascii="ＭＳ ゴシック" w:eastAsia="ＭＳ ゴシック" w:hAnsi="ＭＳ ゴシック"/>
          <w:color w:val="000000" w:themeColor="text1"/>
          <w:sz w:val="22"/>
        </w:rPr>
      </w:pPr>
      <w:r>
        <w:rPr>
          <w:rFonts w:hint="eastAsia"/>
        </w:rPr>
        <w:t xml:space="preserve">　</w:t>
      </w:r>
      <w:r>
        <w:rPr>
          <w:rFonts w:ascii="ＭＳ ゴシック" w:eastAsia="ＭＳ ゴシック" w:hAnsi="ＭＳ ゴシック" w:hint="eastAsia"/>
          <w:sz w:val="22"/>
        </w:rPr>
        <w:t>特定健診の受診率は新型コロナ感染症の影響で</w:t>
      </w:r>
      <w:r>
        <w:rPr>
          <w:rFonts w:ascii="ＭＳ ゴシック" w:eastAsia="ＭＳ ゴシック" w:hAnsi="ＭＳ ゴシック" w:hint="eastAsia"/>
          <w:sz w:val="22"/>
        </w:rPr>
        <w:t>R2</w:t>
      </w:r>
      <w:r>
        <w:rPr>
          <w:rFonts w:ascii="ＭＳ ゴシック" w:eastAsia="ＭＳ ゴシック" w:hAnsi="ＭＳ ゴシック" w:hint="eastAsia"/>
          <w:sz w:val="22"/>
        </w:rPr>
        <w:t>年度に低下しましたが、その後の受診率は増加しています。しかし</w:t>
      </w:r>
      <w:r>
        <w:rPr>
          <w:rFonts w:ascii="ＭＳ ゴシック" w:eastAsia="ＭＳ ゴシック" w:hAnsi="ＭＳ ゴシック" w:hint="eastAsia"/>
          <w:sz w:val="22"/>
        </w:rPr>
        <w:t>H30</w:t>
      </w:r>
      <w:r>
        <w:rPr>
          <w:rFonts w:ascii="ＭＳ ゴシック" w:eastAsia="ＭＳ ゴシック" w:hAnsi="ＭＳ ゴシック" w:hint="eastAsia"/>
          <w:sz w:val="22"/>
        </w:rPr>
        <w:t>年度に比べるとまだ低い傾向にあります。また、メタボリックシンドローム該当者・予備軍は増加しており、さらに</w:t>
      </w:r>
      <w:r>
        <w:rPr>
          <w:rFonts w:ascii="ＭＳ ゴシック" w:eastAsia="ＭＳ ゴシック" w:hAnsi="ＭＳ ゴシック" w:hint="eastAsia"/>
          <w:sz w:val="22"/>
        </w:rPr>
        <w:t>3</w:t>
      </w:r>
      <w:r>
        <w:rPr>
          <w:rFonts w:ascii="ＭＳ ゴシック" w:eastAsia="ＭＳ ゴシック" w:hAnsi="ＭＳ ゴシック" w:hint="eastAsia"/>
          <w:sz w:val="22"/>
        </w:rPr>
        <w:t>項目すべての危険因子が重なっている割合、</w:t>
      </w:r>
      <w:r>
        <w:rPr>
          <w:rFonts w:ascii="ＭＳ ゴシック" w:eastAsia="ＭＳ ゴシック" w:hAnsi="ＭＳ ゴシック" w:hint="eastAsia"/>
          <w:sz w:val="22"/>
        </w:rPr>
        <w:t>2</w:t>
      </w:r>
      <w:r>
        <w:rPr>
          <w:rFonts w:ascii="ＭＳ ゴシック" w:eastAsia="ＭＳ ゴシック" w:hAnsi="ＭＳ ゴシック" w:hint="eastAsia"/>
          <w:sz w:val="22"/>
        </w:rPr>
        <w:t>項目の危険因子が重なっている割合も増加しています。これらを減らし重症化させないためにも、短期目標疾患である高血圧・糖尿病・脂質異常症に</w:t>
      </w:r>
      <w:r>
        <w:rPr>
          <w:rFonts w:ascii="ＭＳ ゴシック" w:eastAsia="ＭＳ ゴシック" w:hAnsi="ＭＳ ゴシック" w:hint="eastAsia"/>
          <w:sz w:val="22"/>
        </w:rPr>
        <w:t>対し、結果の改善につながる保健指導に取り組んでいく必要があります。</w:t>
      </w:r>
      <w:r>
        <w:rPr>
          <w:rFonts w:ascii="ＭＳ ゴシック" w:eastAsia="ＭＳ ゴシック" w:hAnsi="ＭＳ ゴシック" w:hint="eastAsia"/>
          <w:color w:val="000000" w:themeColor="text1"/>
          <w:sz w:val="22"/>
        </w:rPr>
        <w:t>また、重症化する前に早期に介入していくことができるよう、若年層の受診率向上や保健指導の実施も課題となります。</w:t>
      </w:r>
    </w:p>
    <w:p w:rsidR="00584782" w:rsidRDefault="003A4011">
      <w:pPr>
        <w:rPr>
          <w:rFonts w:ascii="ＭＳ ゴシック" w:eastAsia="ＭＳ ゴシック" w:hAnsi="ＭＳ ゴシック"/>
          <w:sz w:val="22"/>
        </w:rPr>
      </w:pPr>
      <w:r>
        <w:rPr>
          <w:rFonts w:ascii="ＭＳ ゴシック" w:eastAsia="ＭＳ ゴシック" w:hAnsi="ＭＳ ゴシック" w:hint="eastAsia"/>
          <w:sz w:val="22"/>
        </w:rPr>
        <w:t xml:space="preserve">　特定保健指導については、実施率目標値の</w:t>
      </w:r>
      <w:r>
        <w:rPr>
          <w:rFonts w:ascii="ＭＳ ゴシック" w:eastAsia="ＭＳ ゴシック" w:hAnsi="ＭＳ ゴシック" w:hint="eastAsia"/>
          <w:sz w:val="22"/>
        </w:rPr>
        <w:t>60</w:t>
      </w:r>
      <w:r>
        <w:rPr>
          <w:rFonts w:ascii="ＭＳ ゴシック" w:eastAsia="ＭＳ ゴシック" w:hAnsi="ＭＳ ゴシック" w:hint="eastAsia"/>
          <w:sz w:val="22"/>
        </w:rPr>
        <w:t>％に届いていない状況にあります。生活習慣病の発症予防・重症化予防のため、引き続き特定保健指導率の向上に努めたいと思います。</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３．第</w:t>
      </w:r>
      <w:r>
        <w:rPr>
          <w:rFonts w:ascii="ＭＳ Ｐゴシック" w:eastAsia="ＭＳ Ｐゴシック" w:hAnsi="ＭＳ Ｐゴシック" w:hint="eastAsia"/>
          <w:sz w:val="28"/>
        </w:rPr>
        <w:t>3</w:t>
      </w:r>
      <w:r>
        <w:rPr>
          <w:rFonts w:ascii="ＭＳ Ｐゴシック" w:eastAsia="ＭＳ Ｐゴシック" w:hAnsi="ＭＳ Ｐゴシック" w:hint="eastAsia"/>
          <w:sz w:val="28"/>
        </w:rPr>
        <w:t>期における健康課題の明確化</w:t>
      </w: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sz w:val="24"/>
        </w:rPr>
        <w:t>１）基本的考え方</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生活習慣病の有病者や予備群を減少させるためには、不健康な生活習慣の蓄積から、生活習慣病の予備群、生活習慣病への進展、さらには重症化・合併症へと悪化するものを減少させること、あるいは、生活習慣病から予備群、更には健康な状態へ改善するものを増加させることが必要となります。（図表</w:t>
      </w:r>
      <w:r>
        <w:rPr>
          <w:rFonts w:ascii="ＭＳ Ｐゴシック" w:eastAsia="ＭＳ Ｐゴシック" w:hAnsi="ＭＳ Ｐゴシック" w:hint="eastAsia"/>
          <w:sz w:val="22"/>
        </w:rPr>
        <w:t>30</w:t>
      </w:r>
      <w:r>
        <w:rPr>
          <w:rFonts w:ascii="ＭＳ Ｐゴシック" w:eastAsia="ＭＳ Ｐゴシック" w:hAnsi="ＭＳ Ｐゴシック" w:hint="eastAsia"/>
          <w:sz w:val="22"/>
        </w:rPr>
        <w:t>）</w:t>
      </w: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hint="eastAsia"/>
          <w:noProof/>
        </w:rPr>
        <w:drawing>
          <wp:anchor distT="0" distB="0" distL="114300" distR="114300" simplePos="0" relativeHeight="30" behindDoc="0" locked="0" layoutInCell="1" hidden="0" allowOverlap="1">
            <wp:simplePos x="0" y="0"/>
            <wp:positionH relativeFrom="margin">
              <wp:posOffset>47625</wp:posOffset>
            </wp:positionH>
            <wp:positionV relativeFrom="paragraph">
              <wp:posOffset>224790</wp:posOffset>
            </wp:positionV>
            <wp:extent cx="5973445" cy="2902585"/>
            <wp:effectExtent l="0" t="0" r="0" b="0"/>
            <wp:wrapTopAndBottom/>
            <wp:docPr id="1065" name="Picture 5"/>
            <wp:cNvGraphicFramePr/>
            <a:graphic xmlns:a="http://schemas.openxmlformats.org/drawingml/2006/main">
              <a:graphicData uri="http://schemas.openxmlformats.org/drawingml/2006/picture">
                <pic:pic xmlns:pic="http://schemas.openxmlformats.org/drawingml/2006/picture">
                  <pic:nvPicPr>
                    <pic:cNvPr id="1065" name="Picture 5"/>
                    <pic:cNvPicPr>
                      <a:picLocks noChangeAspect="1" noChangeArrowheads="1"/>
                    </pic:cNvPicPr>
                  </pic:nvPicPr>
                  <pic:blipFill>
                    <a:blip r:embed="rId42"/>
                    <a:srcRect r="2110" b="3001"/>
                    <a:stretch>
                      <a:fillRect/>
                    </a:stretch>
                  </pic:blipFill>
                  <pic:spPr>
                    <a:xfrm>
                      <a:off x="0" y="0"/>
                      <a:ext cx="5973445" cy="2902585"/>
                    </a:xfrm>
                    <a:prstGeom prst="rect">
                      <a:avLst/>
                    </a:prstGeom>
                    <a:noFill/>
                    <a:ln>
                      <a:noFill/>
                    </a:ln>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w:t>
      </w:r>
      <w:r>
        <w:rPr>
          <w:rFonts w:ascii="ＭＳ Ｐゴシック" w:eastAsia="ＭＳ Ｐゴシック" w:hAnsi="ＭＳ Ｐゴシック"/>
          <w:sz w:val="22"/>
        </w:rPr>
        <w:t>0</w:t>
      </w:r>
      <w:r>
        <w:rPr>
          <w:rFonts w:ascii="ＭＳ Ｐゴシック" w:eastAsia="ＭＳ Ｐゴシック" w:hAnsi="ＭＳ Ｐゴシック" w:hint="eastAsia"/>
          <w:sz w:val="22"/>
        </w:rPr>
        <w:t xml:space="preserve">　生活習慣病の発症・重症化予防の流れ</w:t>
      </w:r>
    </w:p>
    <w:p w:rsidR="00584782" w:rsidRDefault="003A4011">
      <w:pPr>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出典・参照：標準的な健診・保健指導プログラム</w:t>
      </w:r>
    </w:p>
    <w:p w:rsidR="00584782" w:rsidRDefault="003A4011">
      <w:pPr>
        <w:jc w:val="right"/>
        <w:rPr>
          <w:rFonts w:ascii="ＭＳ Ｐゴシック" w:eastAsia="ＭＳ Ｐゴシック" w:hAnsi="ＭＳ Ｐゴシック"/>
          <w:sz w:val="16"/>
        </w:rPr>
      </w:pPr>
      <w:r>
        <w:rPr>
          <w:rFonts w:ascii="ＭＳ Ｐゴシック" w:eastAsia="ＭＳ Ｐゴシック" w:hAnsi="ＭＳ Ｐゴシック" w:hint="eastAsia"/>
          <w:sz w:val="16"/>
        </w:rPr>
        <w:t>【令和</w:t>
      </w:r>
      <w:r>
        <w:rPr>
          <w:rFonts w:ascii="ＭＳ Ｐゴシック" w:eastAsia="ＭＳ Ｐゴシック" w:hAnsi="ＭＳ Ｐゴシック" w:hint="eastAsia"/>
          <w:sz w:val="16"/>
        </w:rPr>
        <w:t>6</w:t>
      </w:r>
      <w:r>
        <w:rPr>
          <w:rFonts w:ascii="ＭＳ Ｐゴシック" w:eastAsia="ＭＳ Ｐゴシック" w:hAnsi="ＭＳ Ｐゴシック" w:hint="eastAsia"/>
          <w:sz w:val="16"/>
        </w:rPr>
        <w:t>年度版】別紙</w:t>
      </w:r>
      <w:r>
        <w:rPr>
          <w:rFonts w:ascii="ＭＳ Ｐゴシック" w:eastAsia="ＭＳ Ｐゴシック" w:hAnsi="ＭＳ Ｐゴシック" w:hint="eastAsia"/>
          <w:sz w:val="16"/>
        </w:rPr>
        <w:t>1</w:t>
      </w:r>
      <w:r>
        <w:rPr>
          <w:rFonts w:ascii="ＭＳ Ｐゴシック" w:eastAsia="ＭＳ Ｐゴシック" w:hAnsi="ＭＳ Ｐゴシック" w:hint="eastAsia"/>
          <w:sz w:val="16"/>
        </w:rPr>
        <w:t>（改変版）</w:t>
      </w: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健康課題の明確化</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医療保険制度においては、</w:t>
      </w:r>
      <w:r>
        <w:rPr>
          <w:rFonts w:ascii="ＭＳ Ｐゴシック" w:eastAsia="ＭＳ Ｐゴシック" w:hAnsi="ＭＳ Ｐゴシック" w:hint="eastAsia"/>
          <w:sz w:val="22"/>
        </w:rPr>
        <w:t>75</w:t>
      </w:r>
      <w:r>
        <w:rPr>
          <w:rFonts w:ascii="ＭＳ Ｐゴシック" w:eastAsia="ＭＳ Ｐゴシック" w:hAnsi="ＭＳ Ｐゴシック" w:hint="eastAsia"/>
          <w:sz w:val="22"/>
        </w:rPr>
        <w:t>歳に到達し後期高齢者になると、それまで加入していた</w:t>
      </w:r>
      <w:r>
        <w:rPr>
          <w:rFonts w:ascii="ＭＳ Ｐゴシック" w:eastAsia="ＭＳ Ｐゴシック" w:hAnsi="ＭＳ Ｐゴシック" w:hint="eastAsia"/>
          <w:sz w:val="22"/>
        </w:rPr>
        <w:t>国民健康保険制度等から、後期高齢者医療制度の被保険者に異動することになります。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保健事業については、高齢者の特性や状況に対応した切れ目のない支援を行うことが望ましいが、制度的な背景により支援担当者や事業内容等が大きく変わってしまうという課題があります。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一方、国保では被保険者のうち、</w:t>
      </w:r>
      <w:r>
        <w:rPr>
          <w:rFonts w:ascii="ＭＳ Ｐゴシック" w:eastAsia="ＭＳ Ｐゴシック" w:hAnsi="ＭＳ Ｐゴシック" w:hint="eastAsia"/>
          <w:sz w:val="22"/>
        </w:rPr>
        <w:t>65</w:t>
      </w:r>
      <w:r>
        <w:rPr>
          <w:rFonts w:ascii="ＭＳ Ｐゴシック" w:eastAsia="ＭＳ Ｐゴシック" w:hAnsi="ＭＳ Ｐゴシック" w:hint="eastAsia"/>
          <w:sz w:val="22"/>
        </w:rPr>
        <w:t>歳以上の高齢者の割合が高く、医療費に占める前期高齢者に係る医療費の割合も過半数を超えており、</w:t>
      </w:r>
      <w:r>
        <w:rPr>
          <w:rFonts w:ascii="ＭＳ Ｐゴシック" w:eastAsia="ＭＳ Ｐゴシック" w:hAnsi="ＭＳ Ｐゴシック" w:hint="eastAsia"/>
          <w:sz w:val="22"/>
        </w:rPr>
        <w:t>また、若年期からの生活習慣病の結果が、高齢期での重症化事例や複数の慢性疾患につながるため、市町村国保及び広域連合は、（図表</w:t>
      </w:r>
      <w:r>
        <w:rPr>
          <w:rFonts w:ascii="ＭＳ Ｐゴシック" w:eastAsia="ＭＳ Ｐゴシック" w:hAnsi="ＭＳ Ｐゴシック" w:hint="eastAsia"/>
          <w:sz w:val="22"/>
        </w:rPr>
        <w:t>31</w:t>
      </w:r>
      <w:r>
        <w:rPr>
          <w:rFonts w:ascii="ＭＳ Ｐゴシック" w:eastAsia="ＭＳ Ｐゴシック" w:hAnsi="ＭＳ Ｐゴシック" w:hint="eastAsia"/>
          <w:sz w:val="22"/>
        </w:rPr>
        <w:t>）に基</w:t>
      </w:r>
      <w:r>
        <w:rPr>
          <w:rFonts w:ascii="ＭＳ Ｐゴシック" w:eastAsia="ＭＳ Ｐゴシック" w:hAnsi="ＭＳ Ｐゴシック" w:hint="eastAsia"/>
          <w:sz w:val="22"/>
        </w:rPr>
        <w:t>づいて健康課題の分析結果等を共有し、綿密な連携に努めることが重要です。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健康課題の明確化においては、第</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期計画の評価も踏まえ、健康・医療情報等を活用して、被保険者の健康状態等を分析、健康課題を抽出・明確化し、費用対効果の観点から優先順位を決定します。さらに若い世代から健診への意識を高めるため</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歳未満の健診を実施し、健診結果において生活習慣の改善が必要と認められる者に対し保健指導を行います。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なお、</w:t>
      </w:r>
      <w:r>
        <w:rPr>
          <w:rFonts w:ascii="ＭＳ Ｐゴシック" w:eastAsia="ＭＳ Ｐゴシック" w:hAnsi="ＭＳ Ｐゴシック" w:hint="eastAsia"/>
          <w:sz w:val="22"/>
        </w:rPr>
        <w:t>20</w:t>
      </w:r>
      <w:r>
        <w:rPr>
          <w:rFonts w:ascii="ＭＳ Ｐゴシック" w:eastAsia="ＭＳ Ｐゴシック" w:hAnsi="ＭＳ Ｐゴシック" w:hint="eastAsia"/>
          <w:sz w:val="22"/>
        </w:rPr>
        <w:t>歳以降の体重増加と生活習慣病の発症との関連が明らかであることから、特定保健指導対象者を減らすためには、若年</w:t>
      </w:r>
      <w:r>
        <w:rPr>
          <w:rFonts w:ascii="ＭＳ Ｐゴシック" w:eastAsia="ＭＳ Ｐゴシック" w:hAnsi="ＭＳ Ｐゴシック" w:hint="eastAsia"/>
          <w:sz w:val="22"/>
        </w:rPr>
        <w:t>期から適正な体重の維持に向けた保健指導、啓発を行う等、</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歳未満の</w:t>
      </w:r>
      <w:r>
        <w:rPr>
          <w:rFonts w:ascii="ＭＳ Ｐゴシック" w:eastAsia="ＭＳ Ｐゴシック" w:hAnsi="ＭＳ Ｐゴシック" w:hint="eastAsia"/>
          <w:sz w:val="22"/>
        </w:rPr>
        <w:lastRenderedPageBreak/>
        <w:t>肥満対策も重要であると考えます。</w:t>
      </w:r>
    </w:p>
    <w:p w:rsidR="00584782" w:rsidRDefault="003A4011">
      <w:pPr>
        <w:rPr>
          <w:rFonts w:ascii="ＭＳ Ｐゴシック" w:eastAsia="ＭＳ Ｐゴシック" w:hAnsi="ＭＳ Ｐゴシック"/>
          <w:sz w:val="22"/>
        </w:rPr>
      </w:pPr>
      <w:r>
        <w:rPr>
          <w:noProof/>
        </w:rPr>
        <w:drawing>
          <wp:anchor distT="0" distB="0" distL="114300" distR="114300" simplePos="0" relativeHeight="21" behindDoc="0" locked="0" layoutInCell="1" hidden="0" allowOverlap="1">
            <wp:simplePos x="0" y="0"/>
            <wp:positionH relativeFrom="margin">
              <wp:align>left</wp:align>
            </wp:positionH>
            <wp:positionV relativeFrom="paragraph">
              <wp:posOffset>337820</wp:posOffset>
            </wp:positionV>
            <wp:extent cx="5238750" cy="3409950"/>
            <wp:effectExtent l="0" t="0" r="0" b="0"/>
            <wp:wrapTopAndBottom/>
            <wp:docPr id="1066" name="Picture 2"/>
            <wp:cNvGraphicFramePr/>
            <a:graphic xmlns:a="http://schemas.openxmlformats.org/drawingml/2006/main">
              <a:graphicData uri="http://schemas.openxmlformats.org/drawingml/2006/picture">
                <pic:pic xmlns:pic="http://schemas.openxmlformats.org/drawingml/2006/picture">
                  <pic:nvPicPr>
                    <pic:cNvPr id="1066" name="Picture 2"/>
                    <pic:cNvPicPr>
                      <a:picLocks noChangeAspect="1" noChangeArrowheads="1"/>
                    </pic:cNvPicPr>
                  </pic:nvPicPr>
                  <pic:blipFill>
                    <a:blip r:embed="rId43"/>
                    <a:stretch>
                      <a:fillRect/>
                    </a:stretch>
                  </pic:blipFill>
                  <pic:spPr>
                    <a:xfrm>
                      <a:off x="0" y="0"/>
                      <a:ext cx="5238750" cy="3409950"/>
                    </a:xfrm>
                    <a:prstGeom prst="rect">
                      <a:avLst/>
                    </a:prstGeom>
                    <a:noFill/>
                    <a:ln>
                      <a:noFill/>
                    </a:ln>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w:t>
      </w:r>
      <w:r>
        <w:rPr>
          <w:rFonts w:ascii="ＭＳ Ｐゴシック" w:eastAsia="ＭＳ Ｐゴシック" w:hAnsi="ＭＳ Ｐゴシック"/>
          <w:sz w:val="22"/>
        </w:rPr>
        <w:t>1</w:t>
      </w:r>
      <w:r>
        <w:rPr>
          <w:rFonts w:ascii="ＭＳ Ｐゴシック" w:eastAsia="ＭＳ Ｐゴシック" w:hAnsi="ＭＳ Ｐゴシック" w:hint="eastAsia"/>
          <w:sz w:val="22"/>
        </w:rPr>
        <w:t xml:space="preserve">　健康課題を明確化するための健診・医療・介護の一体的分析</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（１）医療費分析</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32</w:t>
      </w:r>
      <w:r>
        <w:rPr>
          <w:rFonts w:ascii="ＭＳ Ｐゴシック" w:eastAsia="ＭＳ Ｐゴシック" w:hAnsi="ＭＳ Ｐゴシック" w:hint="eastAsia"/>
          <w:sz w:val="22"/>
        </w:rPr>
        <w:t xml:space="preserve">　被保険者及びレセプトの推移</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7425" cy="1082675"/>
            <wp:effectExtent l="0" t="0" r="0" b="0"/>
            <wp:docPr id="1067" name="オブジェクト 0"/>
            <wp:cNvGraphicFramePr/>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44"/>
                    <a:stretch>
                      <a:fillRect/>
                    </a:stretch>
                  </pic:blipFill>
                  <pic:spPr>
                    <a:xfrm>
                      <a:off x="0" y="0"/>
                      <a:ext cx="6067425" cy="1082675"/>
                    </a:xfrm>
                    <a:prstGeom prst="rect">
                      <a:avLst/>
                    </a:prstGeom>
                  </pic:spPr>
                </pic:pic>
              </a:graphicData>
            </a:graphic>
          </wp:inline>
        </w:drawing>
      </w:r>
    </w:p>
    <w:p w:rsidR="00584782" w:rsidRDefault="003A4011">
      <w:pPr>
        <w:spacing w:line="220" w:lineRule="exact"/>
        <w:jc w:val="right"/>
        <w:rPr>
          <w:rFonts w:asciiTheme="majorEastAsia" w:eastAsiaTheme="majorEastAsia" w:hAnsiTheme="majorEastAsia"/>
          <w:sz w:val="24"/>
        </w:rPr>
      </w:pPr>
      <w:r>
        <w:rPr>
          <w:rFonts w:ascii="ＭＳ Ｐゴシック" w:eastAsia="ＭＳ Ｐゴシック" w:hAnsi="ＭＳ Ｐゴシック" w:hint="eastAsia"/>
          <w:sz w:val="16"/>
        </w:rPr>
        <w:t>出典・参照：</w:t>
      </w:r>
      <w:r>
        <w:rPr>
          <w:rFonts w:ascii="ＭＳ Ｐゴシック" w:eastAsia="ＭＳ Ｐゴシック" w:hAnsi="ＭＳ Ｐゴシック" w:hint="eastAsia"/>
          <w:sz w:val="16"/>
        </w:rPr>
        <w:t>KDB</w:t>
      </w:r>
      <w:r>
        <w:rPr>
          <w:rFonts w:ascii="ＭＳ Ｐゴシック" w:eastAsia="ＭＳ Ｐゴシック" w:hAnsi="ＭＳ Ｐゴシック" w:hint="eastAsia"/>
          <w:sz w:val="16"/>
        </w:rPr>
        <w:t>ｼｽﾃﾑ改変</w:t>
      </w:r>
    </w:p>
    <w:p w:rsidR="00584782" w:rsidRDefault="00584782">
      <w:pPr>
        <w:rPr>
          <w:rFonts w:asciiTheme="majorEastAsia" w:eastAsiaTheme="majorEastAsia" w:hAnsiTheme="majorEastAsia"/>
          <w:sz w:val="24"/>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33</w:t>
      </w:r>
      <w:r>
        <w:rPr>
          <w:rFonts w:ascii="ＭＳ Ｐゴシック" w:eastAsia="ＭＳ Ｐゴシック" w:hAnsi="ＭＳ Ｐゴシック" w:hint="eastAsia"/>
          <w:sz w:val="22"/>
        </w:rPr>
        <w:t xml:space="preserve">　データヘルス計画のターゲットとなる疾患が医療費に占める割合</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24245" cy="2573020"/>
            <wp:effectExtent l="0" t="0" r="0" b="0"/>
            <wp:docPr id="1068" name="オブジェクト 0"/>
            <wp:cNvGraphicFramePr/>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45"/>
                    <a:stretch>
                      <a:fillRect/>
                    </a:stretch>
                  </pic:blipFill>
                  <pic:spPr>
                    <a:xfrm>
                      <a:off x="0" y="0"/>
                      <a:ext cx="6024245" cy="2573020"/>
                    </a:xfrm>
                    <a:prstGeom prst="rect">
                      <a:avLst/>
                    </a:prstGeom>
                  </pic:spPr>
                </pic:pic>
              </a:graphicData>
            </a:graphic>
          </wp:inline>
        </w:drawing>
      </w:r>
    </w:p>
    <w:p w:rsidR="00584782" w:rsidRDefault="003A4011">
      <w:pPr>
        <w:rPr>
          <w:rFonts w:ascii="ＭＳ Ｐゴシック" w:eastAsia="ＭＳ Ｐゴシック" w:hAnsi="ＭＳ Ｐゴシック"/>
          <w:sz w:val="16"/>
        </w:rPr>
      </w:pPr>
      <w:r>
        <w:rPr>
          <w:rFonts w:ascii="ＭＳ Ｐゴシック" w:eastAsia="ＭＳ Ｐゴシック" w:hAnsi="ＭＳ Ｐゴシック" w:hint="eastAsia"/>
          <w:sz w:val="22"/>
        </w:rPr>
        <w:lastRenderedPageBreak/>
        <w:t>図表３</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 xml:space="preserve">　高額レセプト（</w:t>
      </w:r>
      <w:r>
        <w:rPr>
          <w:rFonts w:ascii="ＭＳ Ｐゴシック" w:eastAsia="ＭＳ Ｐゴシック" w:hAnsi="ＭＳ Ｐゴシック" w:hint="eastAsia"/>
          <w:sz w:val="22"/>
        </w:rPr>
        <w:t>80</w:t>
      </w:r>
      <w:r>
        <w:rPr>
          <w:rFonts w:ascii="ＭＳ Ｐゴシック" w:eastAsia="ＭＳ Ｐゴシック" w:hAnsi="ＭＳ Ｐゴシック" w:hint="eastAsia"/>
          <w:sz w:val="22"/>
        </w:rPr>
        <w:t>万円／件）以上の推移</w:t>
      </w:r>
    </w:p>
    <w:p w:rsidR="00584782" w:rsidRDefault="003A4011">
      <w:pPr>
        <w:rPr>
          <w:rFonts w:asciiTheme="majorEastAsia" w:eastAsiaTheme="majorEastAsia" w:hAnsiTheme="majorEastAsia"/>
          <w:sz w:val="24"/>
        </w:rPr>
      </w:pPr>
      <w:r>
        <w:rPr>
          <w:rFonts w:hint="eastAsia"/>
          <w:noProof/>
        </w:rPr>
        <w:drawing>
          <wp:inline distT="0" distB="0" distL="203200" distR="203200">
            <wp:extent cx="6031865" cy="1023620"/>
            <wp:effectExtent l="0" t="0" r="0" b="0"/>
            <wp:docPr id="1069" name="オブジェクト 0"/>
            <wp:cNvGraphicFramePr/>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46"/>
                    <a:stretch>
                      <a:fillRect/>
                    </a:stretch>
                  </pic:blipFill>
                  <pic:spPr>
                    <a:xfrm>
                      <a:off x="0" y="0"/>
                      <a:ext cx="6031865" cy="1023620"/>
                    </a:xfrm>
                    <a:prstGeom prst="rect">
                      <a:avLst/>
                    </a:prstGeom>
                  </pic:spPr>
                </pic:pic>
              </a:graphicData>
            </a:graphic>
          </wp:inline>
        </w:drawing>
      </w:r>
    </w:p>
    <w:p w:rsidR="00584782" w:rsidRDefault="003A4011">
      <w:pPr>
        <w:jc w:val="right"/>
        <w:rPr>
          <w:rFonts w:asciiTheme="majorEastAsia" w:eastAsiaTheme="majorEastAsia" w:hAnsiTheme="majorEastAsia"/>
          <w:sz w:val="18"/>
        </w:rPr>
      </w:pPr>
      <w:r>
        <w:rPr>
          <w:rFonts w:asciiTheme="majorEastAsia" w:eastAsiaTheme="majorEastAsia" w:hAnsiTheme="majorEastAsia" w:hint="eastAsia"/>
          <w:sz w:val="18"/>
        </w:rPr>
        <w:t>出典・参照：</w:t>
      </w:r>
      <w:r>
        <w:rPr>
          <w:rFonts w:asciiTheme="majorEastAsia" w:eastAsiaTheme="majorEastAsia" w:hAnsiTheme="majorEastAsia" w:hint="eastAsia"/>
          <w:sz w:val="18"/>
        </w:rPr>
        <w:t>KDB</w:t>
      </w:r>
      <w:r>
        <w:rPr>
          <w:rFonts w:asciiTheme="majorEastAsia" w:eastAsiaTheme="majorEastAsia" w:hAnsiTheme="majorEastAsia" w:hint="eastAsia"/>
          <w:sz w:val="18"/>
        </w:rPr>
        <w:t>ｼｽﾃﾑ改変</w:t>
      </w:r>
    </w:p>
    <w:p w:rsidR="00584782" w:rsidRDefault="00584782">
      <w:pPr>
        <w:tabs>
          <w:tab w:val="right" w:pos="9212"/>
        </w:tabs>
        <w:rPr>
          <w:rFonts w:asciiTheme="majorEastAsia" w:eastAsiaTheme="majorEastAsia" w:hAnsiTheme="majorEastAsia"/>
          <w:sz w:val="24"/>
        </w:rPr>
      </w:pPr>
    </w:p>
    <w:p w:rsidR="00584782" w:rsidRDefault="00584782">
      <w:pPr>
        <w:tabs>
          <w:tab w:val="right" w:pos="9212"/>
        </w:tabs>
        <w:rPr>
          <w:rFonts w:asciiTheme="majorEastAsia" w:eastAsiaTheme="majorEastAsia" w:hAnsiTheme="majorEastAsia"/>
          <w:sz w:val="24"/>
        </w:rPr>
      </w:pPr>
    </w:p>
    <w:p w:rsidR="00584782" w:rsidRDefault="003A4011">
      <w:pPr>
        <w:tabs>
          <w:tab w:val="right" w:pos="9212"/>
        </w:tabs>
        <w:rPr>
          <w:rFonts w:asciiTheme="majorEastAsia" w:eastAsiaTheme="majorEastAsia" w:hAnsiTheme="majorEastAsia"/>
          <w:sz w:val="24"/>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35</w:t>
      </w:r>
      <w:r>
        <w:rPr>
          <w:rFonts w:ascii="ＭＳ Ｐゴシック" w:eastAsia="ＭＳ Ｐゴシック" w:hAnsi="ＭＳ Ｐゴシック" w:hint="eastAsia"/>
          <w:sz w:val="22"/>
        </w:rPr>
        <w:t xml:space="preserve">　高額レセプト（</w:t>
      </w:r>
      <w:r>
        <w:rPr>
          <w:rFonts w:ascii="ＭＳ Ｐゴシック" w:eastAsia="ＭＳ Ｐゴシック" w:hAnsi="ＭＳ Ｐゴシック" w:hint="eastAsia"/>
          <w:sz w:val="22"/>
        </w:rPr>
        <w:t>80</w:t>
      </w:r>
      <w:r>
        <w:rPr>
          <w:rFonts w:ascii="ＭＳ Ｐゴシック" w:eastAsia="ＭＳ Ｐゴシック" w:hAnsi="ＭＳ Ｐゴシック" w:hint="eastAsia"/>
          <w:sz w:val="22"/>
        </w:rPr>
        <w:t>万円／件）以上の推移（脳血管疾患）</w:t>
      </w:r>
    </w:p>
    <w:p w:rsidR="00584782" w:rsidRDefault="003A4011">
      <w:pPr>
        <w:tabs>
          <w:tab w:val="right" w:pos="9212"/>
        </w:tabs>
        <w:rPr>
          <w:rFonts w:asciiTheme="majorEastAsia" w:eastAsiaTheme="majorEastAsia" w:hAnsiTheme="majorEastAsia"/>
          <w:sz w:val="18"/>
        </w:rPr>
      </w:pPr>
      <w:r>
        <w:rPr>
          <w:rFonts w:hint="eastAsia"/>
          <w:noProof/>
        </w:rPr>
        <w:drawing>
          <wp:inline distT="0" distB="0" distL="203200" distR="203200">
            <wp:extent cx="6063615" cy="2014220"/>
            <wp:effectExtent l="0" t="0" r="0" b="0"/>
            <wp:docPr id="1070" name="オブジェクト 0"/>
            <wp:cNvGraphicFramePr/>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47"/>
                    <a:stretch>
                      <a:fillRect/>
                    </a:stretch>
                  </pic:blipFill>
                  <pic:spPr>
                    <a:xfrm>
                      <a:off x="0" y="0"/>
                      <a:ext cx="6063615" cy="2014220"/>
                    </a:xfrm>
                    <a:prstGeom prst="rect">
                      <a:avLst/>
                    </a:prstGeom>
                  </pic:spPr>
                </pic:pic>
              </a:graphicData>
            </a:graphic>
          </wp:inline>
        </w:drawing>
      </w:r>
    </w:p>
    <w:p w:rsidR="00584782" w:rsidRDefault="003A4011">
      <w:pPr>
        <w:jc w:val="right"/>
        <w:rPr>
          <w:rFonts w:asciiTheme="majorEastAsia" w:eastAsiaTheme="majorEastAsia" w:hAnsiTheme="majorEastAsia"/>
          <w:sz w:val="18"/>
        </w:rPr>
      </w:pPr>
      <w:r>
        <w:rPr>
          <w:rFonts w:asciiTheme="majorEastAsia" w:eastAsiaTheme="majorEastAsia" w:hAnsiTheme="majorEastAsia" w:hint="eastAsia"/>
          <w:sz w:val="18"/>
        </w:rPr>
        <w:t>出典・参照：</w:t>
      </w:r>
      <w:r>
        <w:rPr>
          <w:rFonts w:asciiTheme="majorEastAsia" w:eastAsiaTheme="majorEastAsia" w:hAnsiTheme="majorEastAsia" w:hint="eastAsia"/>
          <w:sz w:val="18"/>
        </w:rPr>
        <w:t>KDB</w:t>
      </w:r>
      <w:r>
        <w:rPr>
          <w:rFonts w:asciiTheme="majorEastAsia" w:eastAsiaTheme="majorEastAsia" w:hAnsiTheme="majorEastAsia" w:hint="eastAsia"/>
          <w:sz w:val="18"/>
        </w:rPr>
        <w:t>ｼｽﾃﾑ改変</w:t>
      </w:r>
    </w:p>
    <w:p w:rsidR="00584782" w:rsidRDefault="00584782">
      <w:pPr>
        <w:rPr>
          <w:rFonts w:asciiTheme="majorEastAsia" w:eastAsiaTheme="majorEastAsia" w:hAnsiTheme="majorEastAsia"/>
          <w:sz w:val="24"/>
        </w:rPr>
      </w:pPr>
    </w:p>
    <w:p w:rsidR="00584782" w:rsidRDefault="00584782">
      <w:pPr>
        <w:rPr>
          <w:rFonts w:asciiTheme="majorEastAsia" w:eastAsiaTheme="majorEastAsia" w:hAnsiTheme="majorEastAsia"/>
          <w:sz w:val="24"/>
        </w:rPr>
      </w:pPr>
    </w:p>
    <w:p w:rsidR="00584782" w:rsidRDefault="003A4011">
      <w:pPr>
        <w:rPr>
          <w:rFonts w:asciiTheme="majorEastAsia" w:eastAsiaTheme="majorEastAsia" w:hAnsiTheme="majorEastAsia"/>
          <w:sz w:val="24"/>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36</w:t>
      </w:r>
      <w:r>
        <w:rPr>
          <w:rFonts w:ascii="ＭＳ Ｐゴシック" w:eastAsia="ＭＳ Ｐゴシック" w:hAnsi="ＭＳ Ｐゴシック" w:hint="eastAsia"/>
          <w:sz w:val="22"/>
        </w:rPr>
        <w:t xml:space="preserve">　高額レセプト（</w:t>
      </w:r>
      <w:r>
        <w:rPr>
          <w:rFonts w:ascii="ＭＳ Ｐゴシック" w:eastAsia="ＭＳ Ｐゴシック" w:hAnsi="ＭＳ Ｐゴシック" w:hint="eastAsia"/>
          <w:sz w:val="22"/>
        </w:rPr>
        <w:t>80</w:t>
      </w:r>
      <w:r>
        <w:rPr>
          <w:rFonts w:ascii="ＭＳ Ｐゴシック" w:eastAsia="ＭＳ Ｐゴシック" w:hAnsi="ＭＳ Ｐゴシック" w:hint="eastAsia"/>
          <w:sz w:val="22"/>
        </w:rPr>
        <w:t>万円／件）以上の推移（虚血性心疾患）</w:t>
      </w:r>
    </w:p>
    <w:p w:rsidR="00584782" w:rsidRDefault="003A4011">
      <w:pPr>
        <w:rPr>
          <w:rFonts w:asciiTheme="majorEastAsia" w:eastAsiaTheme="majorEastAsia" w:hAnsiTheme="majorEastAsia"/>
          <w:sz w:val="24"/>
        </w:rPr>
      </w:pPr>
      <w:r>
        <w:rPr>
          <w:rFonts w:hint="eastAsia"/>
          <w:noProof/>
        </w:rPr>
        <w:drawing>
          <wp:inline distT="0" distB="0" distL="203200" distR="203200">
            <wp:extent cx="6031865" cy="2014220"/>
            <wp:effectExtent l="0" t="0" r="0" b="0"/>
            <wp:docPr id="1071" name="オブジェクト 0"/>
            <wp:cNvGraphicFramePr/>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48"/>
                    <a:stretch>
                      <a:fillRect/>
                    </a:stretch>
                  </pic:blipFill>
                  <pic:spPr>
                    <a:xfrm>
                      <a:off x="0" y="0"/>
                      <a:ext cx="6031865" cy="2014220"/>
                    </a:xfrm>
                    <a:prstGeom prst="rect">
                      <a:avLst/>
                    </a:prstGeom>
                  </pic:spPr>
                </pic:pic>
              </a:graphicData>
            </a:graphic>
          </wp:inline>
        </w:drawing>
      </w:r>
    </w:p>
    <w:p w:rsidR="00584782" w:rsidRDefault="003A4011">
      <w:pPr>
        <w:jc w:val="right"/>
        <w:rPr>
          <w:rFonts w:asciiTheme="majorEastAsia" w:eastAsiaTheme="majorEastAsia" w:hAnsiTheme="majorEastAsia"/>
          <w:sz w:val="18"/>
        </w:rPr>
      </w:pPr>
      <w:r>
        <w:rPr>
          <w:rFonts w:asciiTheme="majorEastAsia" w:eastAsiaTheme="majorEastAsia" w:hAnsiTheme="majorEastAsia" w:hint="eastAsia"/>
          <w:sz w:val="18"/>
        </w:rPr>
        <w:t>出典・参照：</w:t>
      </w:r>
      <w:r>
        <w:rPr>
          <w:rFonts w:asciiTheme="majorEastAsia" w:eastAsiaTheme="majorEastAsia" w:hAnsiTheme="majorEastAsia" w:hint="eastAsia"/>
          <w:sz w:val="18"/>
        </w:rPr>
        <w:t>KDB</w:t>
      </w:r>
      <w:r>
        <w:rPr>
          <w:rFonts w:asciiTheme="majorEastAsia" w:eastAsiaTheme="majorEastAsia" w:hAnsiTheme="majorEastAsia" w:hint="eastAsia"/>
          <w:sz w:val="18"/>
        </w:rPr>
        <w:t>ｼｽﾃﾑ改変</w:t>
      </w:r>
    </w:p>
    <w:p w:rsidR="00584782" w:rsidRDefault="00584782">
      <w:pPr>
        <w:rPr>
          <w:rFonts w:asciiTheme="majorEastAsia" w:eastAsiaTheme="majorEastAsia" w:hAnsiTheme="majorEastAsia"/>
          <w:sz w:val="24"/>
        </w:rPr>
      </w:pPr>
    </w:p>
    <w:p w:rsidR="00584782" w:rsidRDefault="00584782">
      <w:pPr>
        <w:rPr>
          <w:rFonts w:asciiTheme="majorEastAsia" w:eastAsiaTheme="majorEastAsia" w:hAnsiTheme="majorEastAsia"/>
          <w:sz w:val="24"/>
        </w:rPr>
      </w:pPr>
    </w:p>
    <w:p w:rsidR="00584782" w:rsidRDefault="00584782">
      <w:pPr>
        <w:rPr>
          <w:rFonts w:asciiTheme="majorEastAsia" w:eastAsiaTheme="majorEastAsia" w:hAnsiTheme="majorEastAsia"/>
          <w:sz w:val="24"/>
        </w:rPr>
      </w:pPr>
    </w:p>
    <w:p w:rsidR="00584782" w:rsidRDefault="00584782">
      <w:pPr>
        <w:rPr>
          <w:rFonts w:asciiTheme="majorEastAsia" w:eastAsiaTheme="majorEastAsia" w:hAnsiTheme="majorEastAsia"/>
          <w:sz w:val="24"/>
        </w:rPr>
      </w:pPr>
    </w:p>
    <w:p w:rsidR="00584782" w:rsidRDefault="00584782">
      <w:pPr>
        <w:rPr>
          <w:rFonts w:asciiTheme="majorEastAsia" w:eastAsiaTheme="majorEastAsia" w:hAnsiTheme="majorEastAsia"/>
          <w:sz w:val="24"/>
        </w:rPr>
      </w:pPr>
    </w:p>
    <w:p w:rsidR="00584782" w:rsidRDefault="00584782">
      <w:pPr>
        <w:rPr>
          <w:rFonts w:asciiTheme="majorEastAsia" w:eastAsiaTheme="majorEastAsia" w:hAnsiTheme="majorEastAsia"/>
          <w:sz w:val="24"/>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（２）健診・医療・介護の一体的分析</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8392795" cy="6026785"/>
            <wp:effectExtent l="0" t="0" r="0" b="0"/>
            <wp:docPr id="1072" name="オブジェクト 0"/>
            <wp:cNvGraphicFramePr/>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49"/>
                    <a:stretch>
                      <a:fillRect/>
                    </a:stretch>
                  </pic:blipFill>
                  <pic:spPr>
                    <a:xfrm rot="16200000">
                      <a:off x="0" y="0"/>
                      <a:ext cx="8392795" cy="6026785"/>
                    </a:xfrm>
                    <a:prstGeom prst="rect">
                      <a:avLst/>
                    </a:prstGeom>
                  </pic:spPr>
                </pic:pic>
              </a:graphicData>
            </a:graphic>
          </wp:inline>
        </w:drawing>
      </w:r>
    </w:p>
    <w:p w:rsidR="00584782" w:rsidRDefault="003A4011">
      <w:pPr>
        <w:ind w:firstLineChars="3600" w:firstLine="6480"/>
        <w:rPr>
          <w:rFonts w:ascii="ＭＳ Ｐゴシック" w:eastAsia="ＭＳ Ｐゴシック" w:hAnsi="ＭＳ Ｐゴシック"/>
          <w:sz w:val="22"/>
        </w:rPr>
      </w:pPr>
      <w:r>
        <w:rPr>
          <w:rFonts w:ascii="ＭＳ Ｐゴシック" w:eastAsia="ＭＳ Ｐゴシック" w:hAnsi="ＭＳ Ｐゴシック" w:hint="eastAsia"/>
          <w:sz w:val="18"/>
        </w:rPr>
        <w:t>出典・参照：保険者ﾃﾞｰﾀﾍﾙｽ支援ｼｽﾃﾑ</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hint="eastAsia"/>
          <w:sz w:val="22"/>
        </w:rPr>
        <w:t>38</w:t>
      </w:r>
      <w:r>
        <w:rPr>
          <w:rFonts w:ascii="ＭＳ Ｐゴシック" w:eastAsia="ＭＳ Ｐゴシック" w:hAnsi="ＭＳ Ｐゴシック" w:hint="eastAsia"/>
          <w:sz w:val="22"/>
        </w:rPr>
        <w:t xml:space="preserve">　被保険者数と健診受診状況</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3615" cy="1792605"/>
            <wp:effectExtent l="0" t="0" r="0" b="0"/>
            <wp:docPr id="1073" name="オブジェクト 0"/>
            <wp:cNvGraphicFramePr/>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50"/>
                    <a:stretch>
                      <a:fillRect/>
                    </a:stretch>
                  </pic:blipFill>
                  <pic:spPr>
                    <a:xfrm>
                      <a:off x="0" y="0"/>
                      <a:ext cx="6063615" cy="1792605"/>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39</w:t>
      </w:r>
      <w:r>
        <w:rPr>
          <w:rFonts w:ascii="ＭＳ Ｐゴシック" w:eastAsia="ＭＳ Ｐゴシック" w:hAnsi="ＭＳ Ｐゴシック" w:hint="eastAsia"/>
          <w:sz w:val="22"/>
        </w:rPr>
        <w:t xml:space="preserve">　健診有所見状況</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174105" cy="2192020"/>
            <wp:effectExtent l="0" t="0" r="0" b="0"/>
            <wp:docPr id="1074" name="オブジェクト 0"/>
            <wp:cNvGraphicFramePr/>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51"/>
                    <a:stretch>
                      <a:fillRect/>
                    </a:stretch>
                  </pic:blipFill>
                  <pic:spPr>
                    <a:xfrm>
                      <a:off x="0" y="0"/>
                      <a:ext cx="6174105" cy="2192020"/>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 xml:space="preserve">　短期目標疾患（高血圧・糖尿病）と合併症の状況</w:t>
      </w:r>
    </w:p>
    <w:p w:rsidR="00584782" w:rsidRDefault="003A4011">
      <w:pPr>
        <w:spacing w:line="240" w:lineRule="exact"/>
        <w:rPr>
          <w:rFonts w:ascii="ＭＳ Ｐゴシック" w:eastAsia="ＭＳ Ｐゴシック" w:hAnsi="ＭＳ Ｐゴシック"/>
          <w:sz w:val="17"/>
        </w:rPr>
      </w:pPr>
      <w:r>
        <w:rPr>
          <w:rFonts w:hint="eastAsia"/>
          <w:noProof/>
        </w:rPr>
        <w:drawing>
          <wp:anchor distT="0" distB="0" distL="114300" distR="114300" simplePos="0" relativeHeight="70" behindDoc="0" locked="0" layoutInCell="1" hidden="0" allowOverlap="1">
            <wp:simplePos x="0" y="0"/>
            <wp:positionH relativeFrom="page">
              <wp:posOffset>900430</wp:posOffset>
            </wp:positionH>
            <wp:positionV relativeFrom="page">
              <wp:posOffset>6243955</wp:posOffset>
            </wp:positionV>
            <wp:extent cx="6259830" cy="2120900"/>
            <wp:effectExtent l="0" t="0" r="0" b="0"/>
            <wp:wrapNone/>
            <wp:docPr id="1075" name="図 7"/>
            <wp:cNvGraphicFramePr/>
            <a:graphic xmlns:a="http://schemas.openxmlformats.org/drawingml/2006/main">
              <a:graphicData uri="http://schemas.openxmlformats.org/drawingml/2006/picture">
                <pic:pic xmlns:pic="http://schemas.openxmlformats.org/drawingml/2006/picture">
                  <pic:nvPicPr>
                    <pic:cNvPr id="1075" name="図 7"/>
                    <pic:cNvPicPr>
                      <a:picLocks noChangeAspect="1" noChangeArrowheads="1"/>
                    </pic:cNvPicPr>
                  </pic:nvPicPr>
                  <pic:blipFill>
                    <a:blip r:embed="rId52"/>
                    <a:stretch>
                      <a:fillRect/>
                    </a:stretch>
                  </pic:blipFill>
                  <pic:spPr>
                    <a:xfrm>
                      <a:off x="0" y="0"/>
                      <a:ext cx="6259830" cy="2120900"/>
                    </a:xfrm>
                    <a:prstGeom prst="rect">
                      <a:avLst/>
                    </a:prstGeom>
                    <a:noFill/>
                  </pic:spPr>
                </pic:pic>
              </a:graphicData>
            </a:graphic>
          </wp:anchor>
        </w:drawing>
      </w:r>
    </w:p>
    <w:p w:rsidR="00584782" w:rsidRDefault="00584782">
      <w:pPr>
        <w:spacing w:line="240" w:lineRule="exact"/>
        <w:ind w:left="-318" w:firstLineChars="200" w:firstLine="340"/>
        <w:rPr>
          <w:rFonts w:ascii="ＭＳ Ｐゴシック" w:eastAsia="ＭＳ Ｐゴシック" w:hAnsi="ＭＳ Ｐゴシック"/>
          <w:sz w:val="17"/>
        </w:rPr>
      </w:pPr>
    </w:p>
    <w:p w:rsidR="00584782" w:rsidRDefault="00584782">
      <w:pPr>
        <w:spacing w:line="240" w:lineRule="exact"/>
        <w:ind w:left="-318" w:firstLineChars="200" w:firstLine="340"/>
        <w:rPr>
          <w:rFonts w:ascii="ＭＳ Ｐゴシック" w:eastAsia="ＭＳ Ｐゴシック" w:hAnsi="ＭＳ Ｐゴシック"/>
          <w:sz w:val="17"/>
        </w:rPr>
      </w:pPr>
    </w:p>
    <w:p w:rsidR="00584782" w:rsidRDefault="00584782">
      <w:pPr>
        <w:spacing w:line="240" w:lineRule="exact"/>
        <w:ind w:left="-318" w:firstLineChars="200" w:firstLine="340"/>
        <w:rPr>
          <w:rFonts w:ascii="ＭＳ Ｐゴシック" w:eastAsia="ＭＳ Ｐゴシック" w:hAnsi="ＭＳ Ｐゴシック"/>
          <w:sz w:val="17"/>
        </w:rPr>
      </w:pPr>
    </w:p>
    <w:p w:rsidR="00584782" w:rsidRDefault="00584782">
      <w:pPr>
        <w:spacing w:line="240" w:lineRule="exact"/>
        <w:ind w:left="-318" w:firstLineChars="200" w:firstLine="340"/>
        <w:rPr>
          <w:rFonts w:ascii="ＭＳ Ｐゴシック" w:eastAsia="ＭＳ Ｐゴシック" w:hAnsi="ＭＳ Ｐゴシック"/>
          <w:sz w:val="17"/>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spacing w:line="240" w:lineRule="exact"/>
        <w:ind w:left="-318" w:firstLineChars="200" w:firstLine="340"/>
        <w:rPr>
          <w:rFonts w:ascii="ＭＳ Ｐゴシック" w:eastAsia="ＭＳ Ｐゴシック" w:hAnsi="ＭＳ Ｐゴシック"/>
          <w:sz w:val="17"/>
        </w:rPr>
      </w:pPr>
    </w:p>
    <w:p w:rsidR="00584782" w:rsidRDefault="003A4011">
      <w:pPr>
        <w:spacing w:line="240" w:lineRule="exact"/>
        <w:ind w:left="-318" w:firstLineChars="200" w:firstLine="340"/>
        <w:rPr>
          <w:rFonts w:ascii="ＭＳ Ｐゴシック" w:eastAsia="ＭＳ Ｐゴシック" w:hAnsi="ＭＳ Ｐゴシック"/>
          <w:sz w:val="17"/>
        </w:rPr>
      </w:pPr>
      <w:r>
        <w:rPr>
          <w:rFonts w:ascii="ＭＳ Ｐゴシック" w:eastAsia="ＭＳ Ｐゴシック" w:hAnsi="ＭＳ Ｐゴシック" w:hint="eastAsia"/>
          <w:sz w:val="17"/>
        </w:rPr>
        <w:t>注）合併症とは、脳血管疾患・心不全・虚血性心疾患・腎不全を指す</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hint="eastAsia"/>
          <w:sz w:val="22"/>
        </w:rPr>
        <w:t>41</w:t>
      </w:r>
      <w:r>
        <w:rPr>
          <w:rFonts w:ascii="ＭＳ Ｐゴシック" w:eastAsia="ＭＳ Ｐゴシック" w:hAnsi="ＭＳ Ｐゴシック" w:hint="eastAsia"/>
          <w:sz w:val="22"/>
        </w:rPr>
        <w:t xml:space="preserve">　中長期目標疾患（脳血管疾患・心不全・虚血性心疾患・腎不全）と介護認定の状況</w:t>
      </w:r>
    </w:p>
    <w:p w:rsidR="00584782" w:rsidRDefault="003A4011">
      <w:pPr>
        <w:rPr>
          <w:rFonts w:ascii="ＭＳ Ｐゴシック" w:eastAsia="ＭＳ Ｐゴシック" w:hAnsi="ＭＳ Ｐゴシック"/>
          <w:sz w:val="22"/>
        </w:rPr>
      </w:pPr>
      <w:r>
        <w:rPr>
          <w:rFonts w:hint="eastAsia"/>
          <w:noProof/>
        </w:rPr>
        <w:drawing>
          <wp:anchor distT="0" distB="0" distL="114300" distR="114300" simplePos="0" relativeHeight="71" behindDoc="0" locked="0" layoutInCell="1" hidden="0" allowOverlap="1">
            <wp:simplePos x="0" y="0"/>
            <wp:positionH relativeFrom="page">
              <wp:posOffset>937260</wp:posOffset>
            </wp:positionH>
            <wp:positionV relativeFrom="page">
              <wp:posOffset>1238250</wp:posOffset>
            </wp:positionV>
            <wp:extent cx="6026785" cy="1911350"/>
            <wp:effectExtent l="0" t="0" r="0" b="0"/>
            <wp:wrapNone/>
            <wp:docPr id="1076" name="図 8"/>
            <wp:cNvGraphicFramePr/>
            <a:graphic xmlns:a="http://schemas.openxmlformats.org/drawingml/2006/main">
              <a:graphicData uri="http://schemas.openxmlformats.org/drawingml/2006/picture">
                <pic:pic xmlns:pic="http://schemas.openxmlformats.org/drawingml/2006/picture">
                  <pic:nvPicPr>
                    <pic:cNvPr id="1076" name="図 8"/>
                    <pic:cNvPicPr>
                      <a:picLocks noChangeAspect="1" noChangeArrowheads="1"/>
                    </pic:cNvPicPr>
                  </pic:nvPicPr>
                  <pic:blipFill>
                    <a:blip r:embed="rId53"/>
                    <a:stretch>
                      <a:fillRect/>
                    </a:stretch>
                  </pic:blipFill>
                  <pic:spPr>
                    <a:xfrm>
                      <a:off x="0" y="0"/>
                      <a:ext cx="6026785" cy="1911350"/>
                    </a:xfrm>
                    <a:prstGeom prst="rect">
                      <a:avLst/>
                    </a:prstGeom>
                    <a:noFill/>
                  </pic:spPr>
                </pic:pic>
              </a:graphicData>
            </a:graphic>
          </wp:anchor>
        </w:drawing>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42</w:t>
      </w:r>
      <w:r>
        <w:rPr>
          <w:rFonts w:ascii="ＭＳ Ｐゴシック" w:eastAsia="ＭＳ Ｐゴシック" w:hAnsi="ＭＳ Ｐゴシック" w:hint="eastAsia"/>
          <w:sz w:val="22"/>
        </w:rPr>
        <w:t xml:space="preserve">　骨折・認知症の状況</w:t>
      </w:r>
    </w:p>
    <w:p w:rsidR="00584782" w:rsidRDefault="003A4011">
      <w:pPr>
        <w:rPr>
          <w:rFonts w:ascii="ＭＳ Ｐゴシック" w:eastAsia="ＭＳ Ｐゴシック" w:hAnsi="ＭＳ Ｐゴシック"/>
          <w:sz w:val="22"/>
        </w:rPr>
      </w:pPr>
      <w:r>
        <w:rPr>
          <w:rFonts w:hint="eastAsia"/>
          <w:noProof/>
        </w:rPr>
        <w:drawing>
          <wp:anchor distT="0" distB="0" distL="114300" distR="114300" simplePos="0" relativeHeight="72" behindDoc="0" locked="0" layoutInCell="1" hidden="0" allowOverlap="1">
            <wp:simplePos x="0" y="0"/>
            <wp:positionH relativeFrom="page">
              <wp:posOffset>900430</wp:posOffset>
            </wp:positionH>
            <wp:positionV relativeFrom="page">
              <wp:posOffset>3756025</wp:posOffset>
            </wp:positionV>
            <wp:extent cx="6027420" cy="2172970"/>
            <wp:effectExtent l="0" t="0" r="0" b="0"/>
            <wp:wrapNone/>
            <wp:docPr id="1077" name="図 10"/>
            <wp:cNvGraphicFramePr/>
            <a:graphic xmlns:a="http://schemas.openxmlformats.org/drawingml/2006/main">
              <a:graphicData uri="http://schemas.openxmlformats.org/drawingml/2006/picture">
                <pic:pic xmlns:pic="http://schemas.openxmlformats.org/drawingml/2006/picture">
                  <pic:nvPicPr>
                    <pic:cNvPr id="1077" name="図 10"/>
                    <pic:cNvPicPr>
                      <a:picLocks noChangeAspect="1" noChangeArrowheads="1"/>
                    </pic:cNvPicPr>
                  </pic:nvPicPr>
                  <pic:blipFill>
                    <a:blip r:embed="rId54"/>
                    <a:stretch>
                      <a:fillRect/>
                    </a:stretch>
                  </pic:blipFill>
                  <pic:spPr>
                    <a:xfrm>
                      <a:off x="0" y="0"/>
                      <a:ext cx="6027420" cy="2172970"/>
                    </a:xfrm>
                    <a:prstGeom prst="rect">
                      <a:avLst/>
                    </a:prstGeom>
                    <a:noFill/>
                  </pic:spPr>
                </pic:pic>
              </a:graphicData>
            </a:graphic>
          </wp:anchor>
        </w:drawing>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（３）健康課題の明確化（図表</w:t>
      </w:r>
      <w:r>
        <w:rPr>
          <w:rFonts w:ascii="ＭＳ Ｐゴシック" w:eastAsia="ＭＳ Ｐゴシック" w:hAnsi="ＭＳ Ｐゴシック" w:hint="eastAsia"/>
          <w:sz w:val="22"/>
        </w:rPr>
        <w:t>32</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42</w:t>
      </w:r>
      <w:r>
        <w:rPr>
          <w:rFonts w:ascii="ＭＳ Ｐゴシック" w:eastAsia="ＭＳ Ｐゴシック" w:hAnsi="ＭＳ Ｐゴシック" w:hint="eastAsia"/>
          <w:sz w:val="22"/>
        </w:rPr>
        <w:t>）</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2E74B5" w:themeColor="accent1" w:themeShade="BF"/>
          <w:sz w:val="22"/>
        </w:rPr>
        <w:t xml:space="preserve">　</w:t>
      </w:r>
      <w:r>
        <w:rPr>
          <w:rFonts w:ascii="ＭＳ Ｐゴシック" w:eastAsia="ＭＳ Ｐゴシック" w:hAnsi="ＭＳ Ｐゴシック" w:hint="eastAsia"/>
          <w:sz w:val="22"/>
        </w:rPr>
        <w:t>国保の被保険者数は年々減っているが、一人あたり医療費は、令和</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年度は新型コロナ感染症の影響で減ったものの、令和</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年以降は増加傾向で、後期高齢者になると一人あたり</w:t>
      </w:r>
      <w:r>
        <w:rPr>
          <w:rFonts w:ascii="ＭＳ Ｐゴシック" w:eastAsia="ＭＳ Ｐゴシック" w:hAnsi="ＭＳ Ｐゴシック" w:hint="eastAsia"/>
          <w:sz w:val="22"/>
        </w:rPr>
        <w:t>100</w:t>
      </w:r>
      <w:r>
        <w:rPr>
          <w:rFonts w:ascii="ＭＳ Ｐゴシック" w:eastAsia="ＭＳ Ｐゴシック" w:hAnsi="ＭＳ Ｐゴシック" w:hint="eastAsia"/>
          <w:sz w:val="22"/>
        </w:rPr>
        <w:t>万円を超え、国保の約</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倍も高い状況です。（</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32</w:t>
      </w:r>
      <w:r>
        <w:rPr>
          <w:rFonts w:ascii="ＭＳ Ｐゴシック" w:eastAsia="ＭＳ Ｐゴシック" w:hAnsi="ＭＳ Ｐゴシック"/>
          <w:sz w:val="22"/>
        </w:rPr>
        <w:t>）</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2E74B5" w:themeColor="accent1" w:themeShade="BF"/>
          <w:sz w:val="22"/>
        </w:rPr>
        <w:t xml:space="preserve">　</w:t>
      </w:r>
      <w:r>
        <w:rPr>
          <w:rFonts w:ascii="ＭＳ Ｐゴシック" w:eastAsia="ＭＳ Ｐゴシック" w:hAnsi="ＭＳ Ｐゴシック" w:hint="eastAsia"/>
          <w:sz w:val="22"/>
        </w:rPr>
        <w:t>本町は、これまで糖尿病に重点をおいて保健事業に取り組んできたため、短期的目標疾患の糖尿病及の総医療費に占める割合は、同規模と比べて約</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ポイント以上低くなっています。しかし腎不全の医療費に占める割合が、国保では、同規模と比べて高い状況となっています。</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33)</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2E74B5" w:themeColor="accent1" w:themeShade="BF"/>
          <w:sz w:val="22"/>
        </w:rPr>
        <w:t xml:space="preserve">　</w:t>
      </w:r>
      <w:r>
        <w:rPr>
          <w:rFonts w:ascii="ＭＳ Ｐゴシック" w:eastAsia="ＭＳ Ｐゴシック" w:hAnsi="ＭＳ Ｐゴシック" w:hint="eastAsia"/>
          <w:sz w:val="22"/>
        </w:rPr>
        <w:t>高額レセプトについては、国保においては毎年約</w:t>
      </w:r>
      <w:r>
        <w:rPr>
          <w:rFonts w:ascii="ＭＳ Ｐゴシック" w:eastAsia="ＭＳ Ｐゴシック" w:hAnsi="ＭＳ Ｐゴシック" w:hint="eastAsia"/>
          <w:sz w:val="22"/>
        </w:rPr>
        <w:t>250</w:t>
      </w:r>
      <w:r>
        <w:rPr>
          <w:rFonts w:ascii="ＭＳ Ｐゴシック" w:eastAsia="ＭＳ Ｐゴシック" w:hAnsi="ＭＳ Ｐゴシック" w:hint="eastAsia"/>
          <w:sz w:val="22"/>
        </w:rPr>
        <w:t>件のレセプトが発生していますが、後期高齢になると、約</w:t>
      </w:r>
      <w:r>
        <w:rPr>
          <w:rFonts w:ascii="ＭＳ Ｐゴシック" w:eastAsia="ＭＳ Ｐゴシック" w:hAnsi="ＭＳ Ｐゴシック" w:hint="eastAsia"/>
          <w:sz w:val="22"/>
        </w:rPr>
        <w:t>400</w:t>
      </w:r>
      <w:r>
        <w:rPr>
          <w:rFonts w:ascii="ＭＳ Ｐゴシック" w:eastAsia="ＭＳ Ｐゴシック" w:hAnsi="ＭＳ Ｐゴシック" w:hint="eastAsia"/>
          <w:sz w:val="22"/>
        </w:rPr>
        <w:t>件と増えることがわかります。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高額における疾病をみてみると、脳血管疾患で高額になったレセプトは、国保で令和</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年度が一番多く</w:t>
      </w:r>
      <w:r>
        <w:rPr>
          <w:rFonts w:ascii="ＭＳ Ｐゴシック" w:eastAsia="ＭＳ Ｐゴシック" w:hAnsi="ＭＳ Ｐゴシック" w:hint="eastAsia"/>
          <w:sz w:val="22"/>
        </w:rPr>
        <w:t>16</w:t>
      </w:r>
      <w:r>
        <w:rPr>
          <w:rFonts w:ascii="ＭＳ Ｐゴシック" w:eastAsia="ＭＳ Ｐゴシック" w:hAnsi="ＭＳ Ｐゴシック" w:hint="eastAsia"/>
          <w:sz w:val="22"/>
        </w:rPr>
        <w:t>件で</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千万円</w:t>
      </w:r>
      <w:r>
        <w:rPr>
          <w:rFonts w:ascii="ＭＳ Ｐゴシック" w:eastAsia="ＭＳ Ｐゴシック" w:hAnsi="ＭＳ Ｐゴシック" w:hint="eastAsia"/>
          <w:sz w:val="22"/>
        </w:rPr>
        <w:t>以上の費用がかかっています。平成</w:t>
      </w:r>
      <w:r>
        <w:rPr>
          <w:rFonts w:ascii="ＭＳ Ｐゴシック" w:eastAsia="ＭＳ Ｐゴシック" w:hAnsi="ＭＳ Ｐゴシック" w:hint="eastAsia"/>
          <w:sz w:val="22"/>
        </w:rPr>
        <w:t>30</w:t>
      </w:r>
      <w:r>
        <w:rPr>
          <w:rFonts w:ascii="ＭＳ Ｐゴシック" w:eastAsia="ＭＳ Ｐゴシック" w:hAnsi="ＭＳ Ｐゴシック" w:hint="eastAsia"/>
          <w:sz w:val="22"/>
        </w:rPr>
        <w:t>年度は</w:t>
      </w:r>
      <w:r>
        <w:rPr>
          <w:rFonts w:ascii="ＭＳ Ｐゴシック" w:eastAsia="ＭＳ Ｐゴシック" w:hAnsi="ＭＳ Ｐゴシック" w:hint="eastAsia"/>
          <w:sz w:val="22"/>
        </w:rPr>
        <w:t>7</w:t>
      </w:r>
      <w:r>
        <w:rPr>
          <w:rFonts w:ascii="ＭＳ Ｐゴシック" w:eastAsia="ＭＳ Ｐゴシック" w:hAnsi="ＭＳ Ｐゴシック" w:hint="eastAsia"/>
          <w:sz w:val="22"/>
        </w:rPr>
        <w:t>件で費用額は約</w:t>
      </w:r>
      <w:r>
        <w:rPr>
          <w:rFonts w:ascii="ＭＳ Ｐゴシック" w:eastAsia="ＭＳ Ｐゴシック" w:hAnsi="ＭＳ Ｐゴシック" w:hint="eastAsia"/>
          <w:sz w:val="22"/>
        </w:rPr>
        <w:t>785</w:t>
      </w:r>
      <w:r>
        <w:rPr>
          <w:rFonts w:ascii="ＭＳ Ｐゴシック" w:eastAsia="ＭＳ Ｐゴシック" w:hAnsi="ＭＳ Ｐゴシック" w:hint="eastAsia"/>
          <w:sz w:val="22"/>
        </w:rPr>
        <w:t>万円となっており、約</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倍近く増えています。後期高齢においては</w:t>
      </w:r>
      <w:r>
        <w:rPr>
          <w:rFonts w:ascii="ＭＳ Ｐゴシック" w:eastAsia="ＭＳ Ｐゴシック" w:hAnsi="ＭＳ Ｐゴシック" w:hint="eastAsia"/>
          <w:color w:val="2E74B5" w:themeColor="accent1" w:themeShade="BF"/>
          <w:sz w:val="22"/>
        </w:rPr>
        <w:t>、</w:t>
      </w:r>
      <w:r>
        <w:rPr>
          <w:rFonts w:ascii="ＭＳ Ｐゴシック" w:eastAsia="ＭＳ Ｐゴシック" w:hAnsi="ＭＳ Ｐゴシック" w:hint="eastAsia"/>
          <w:sz w:val="22"/>
        </w:rPr>
        <w:t>令和４年度は</w:t>
      </w:r>
      <w:r>
        <w:rPr>
          <w:rFonts w:ascii="ＭＳ Ｐゴシック" w:eastAsia="ＭＳ Ｐゴシック" w:hAnsi="ＭＳ Ｐゴシック" w:hint="eastAsia"/>
          <w:sz w:val="22"/>
        </w:rPr>
        <w:t>18</w:t>
      </w:r>
      <w:r>
        <w:rPr>
          <w:rFonts w:ascii="ＭＳ Ｐゴシック" w:eastAsia="ＭＳ Ｐゴシック" w:hAnsi="ＭＳ Ｐゴシック" w:hint="eastAsia"/>
          <w:sz w:val="22"/>
        </w:rPr>
        <w:t>件で約２千万の費用がかかっています。脳血管疾患は、医療費のみならず、介護を要する状態となり、長期にわたって医療費と介護費に影響を及ぼすことから、脳血管疾患のリスクとなる高血圧の重症化予防についても力を入れる必要があります。</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34</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35)</w:t>
      </w: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健診・医療・介護のデータを</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年度と</w:t>
      </w:r>
      <w:r>
        <w:rPr>
          <w:rFonts w:ascii="ＭＳ Ｐゴシック" w:eastAsia="ＭＳ Ｐゴシック" w:hAnsi="ＭＳ Ｐゴシック" w:hint="eastAsia"/>
          <w:sz w:val="22"/>
        </w:rPr>
        <w:t>R4</w:t>
      </w:r>
      <w:r>
        <w:rPr>
          <w:rFonts w:ascii="ＭＳ Ｐゴシック" w:eastAsia="ＭＳ Ｐゴシック" w:hAnsi="ＭＳ Ｐゴシック" w:hint="eastAsia"/>
          <w:sz w:val="22"/>
        </w:rPr>
        <w:t>年度の結果を各年代で一体的に分析すると、</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38</w:t>
      </w:r>
      <w:r>
        <w:rPr>
          <w:rFonts w:ascii="ＭＳ Ｐゴシック" w:eastAsia="ＭＳ Ｐゴシック" w:hAnsi="ＭＳ Ｐゴシック" w:hint="eastAsia"/>
          <w:sz w:val="22"/>
        </w:rPr>
        <w:t>の①</w:t>
      </w:r>
      <w:r>
        <w:rPr>
          <w:rFonts w:ascii="ＭＳ Ｐゴシック" w:eastAsia="ＭＳ Ｐゴシック" w:hAnsi="ＭＳ Ｐゴシック" w:hint="eastAsia"/>
          <w:sz w:val="22"/>
        </w:rPr>
        <w:lastRenderedPageBreak/>
        <w:t>被保険者数は、</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歳で減</w:t>
      </w:r>
      <w:r>
        <w:rPr>
          <w:rFonts w:ascii="ＭＳ Ｐゴシック" w:eastAsia="ＭＳ Ｐゴシック" w:hAnsi="ＭＳ Ｐゴシック" w:hint="eastAsia"/>
          <w:sz w:val="22"/>
        </w:rPr>
        <w:t>っていますが、</w:t>
      </w:r>
      <w:r>
        <w:rPr>
          <w:rFonts w:ascii="ＭＳ Ｐゴシック" w:eastAsia="ＭＳ Ｐゴシック" w:hAnsi="ＭＳ Ｐゴシック" w:hint="eastAsia"/>
          <w:sz w:val="22"/>
        </w:rPr>
        <w:t>65</w:t>
      </w:r>
      <w:r>
        <w:rPr>
          <w:rFonts w:ascii="ＭＳ Ｐゴシック" w:eastAsia="ＭＳ Ｐゴシック" w:hAnsi="ＭＳ Ｐゴシック" w:hint="eastAsia"/>
          <w:sz w:val="22"/>
        </w:rPr>
        <w:t>歳～</w:t>
      </w:r>
      <w:r>
        <w:rPr>
          <w:rFonts w:ascii="ＭＳ Ｐゴシック" w:eastAsia="ＭＳ Ｐゴシック" w:hAnsi="ＭＳ Ｐゴシック" w:hint="eastAsia"/>
          <w:sz w:val="22"/>
        </w:rPr>
        <w:t>74</w:t>
      </w:r>
      <w:r>
        <w:rPr>
          <w:rFonts w:ascii="ＭＳ Ｐゴシック" w:eastAsia="ＭＳ Ｐゴシック" w:hAnsi="ＭＳ Ｐゴシック" w:hint="eastAsia"/>
          <w:sz w:val="22"/>
        </w:rPr>
        <w:t>歳で</w:t>
      </w:r>
      <w:r>
        <w:rPr>
          <w:rFonts w:ascii="ＭＳ Ｐゴシック" w:eastAsia="ＭＳ Ｐゴシック" w:hAnsi="ＭＳ Ｐゴシック" w:hint="eastAsia"/>
          <w:sz w:val="22"/>
        </w:rPr>
        <w:t>172</w:t>
      </w:r>
      <w:r>
        <w:rPr>
          <w:rFonts w:ascii="ＭＳ Ｐゴシック" w:eastAsia="ＭＳ Ｐゴシック" w:hAnsi="ＭＳ Ｐゴシック" w:hint="eastAsia"/>
          <w:sz w:val="22"/>
        </w:rPr>
        <w:t>名増加し、前期高齢者のが増えていることがわかります。⑮の体格をみると、</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０～</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歳の若い年齢層で、</w:t>
      </w:r>
      <w:r>
        <w:rPr>
          <w:rFonts w:ascii="ＭＳ Ｐゴシック" w:eastAsia="ＭＳ Ｐゴシック" w:hAnsi="ＭＳ Ｐゴシック" w:hint="eastAsia"/>
          <w:sz w:val="22"/>
        </w:rPr>
        <w:t>BMI</w:t>
      </w:r>
      <w:r>
        <w:rPr>
          <w:rFonts w:ascii="ＭＳ Ｐゴシック" w:eastAsia="ＭＳ Ｐゴシック" w:hAnsi="ＭＳ Ｐゴシック" w:hint="eastAsia"/>
          <w:sz w:val="22"/>
        </w:rPr>
        <w:t>２５以上の率が１ポイント高くなっています。</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39</w:t>
      </w:r>
      <w:r>
        <w:rPr>
          <w:rFonts w:ascii="ＭＳ Ｐゴシック" w:eastAsia="ＭＳ Ｐゴシック" w:hAnsi="ＭＳ Ｐゴシック" w:hint="eastAsia"/>
          <w:sz w:val="22"/>
        </w:rPr>
        <w:t>健診有所見の状況をみると、Ⅱ度以上高血圧、</w:t>
      </w:r>
      <w:r>
        <w:rPr>
          <w:rFonts w:ascii="ＭＳ Ｐゴシック" w:eastAsia="ＭＳ Ｐゴシック" w:hAnsi="ＭＳ Ｐゴシック" w:hint="eastAsia"/>
          <w:sz w:val="22"/>
        </w:rPr>
        <w:t>CKD</w:t>
      </w:r>
      <w:r>
        <w:rPr>
          <w:rFonts w:ascii="ＭＳ Ｐゴシック" w:eastAsia="ＭＳ Ｐゴシック" w:hAnsi="ＭＳ Ｐゴシック" w:hint="eastAsia"/>
          <w:sz w:val="22"/>
        </w:rPr>
        <w:t>は各年代で対象人数が減少しているが、</w:t>
      </w:r>
      <w:r>
        <w:rPr>
          <w:rFonts w:ascii="ＭＳ Ｐゴシック" w:eastAsia="ＭＳ Ｐゴシック" w:hAnsi="ＭＳ Ｐゴシック" w:hint="eastAsia"/>
          <w:sz w:val="22"/>
        </w:rPr>
        <w:t>HbA1c7.0</w:t>
      </w:r>
      <w:r>
        <w:rPr>
          <w:rFonts w:ascii="ＭＳ Ｐゴシック" w:eastAsia="ＭＳ Ｐゴシック" w:hAnsi="ＭＳ Ｐゴシック" w:hint="eastAsia"/>
          <w:sz w:val="22"/>
        </w:rPr>
        <w:t>以上は</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歳、</w:t>
      </w:r>
      <w:r>
        <w:rPr>
          <w:rFonts w:ascii="ＭＳ Ｐゴシック" w:eastAsia="ＭＳ Ｐゴシック" w:hAnsi="ＭＳ Ｐゴシック" w:hint="eastAsia"/>
          <w:sz w:val="22"/>
        </w:rPr>
        <w:t>75</w:t>
      </w:r>
      <w:r>
        <w:rPr>
          <w:rFonts w:ascii="ＭＳ Ｐゴシック" w:eastAsia="ＭＳ Ｐゴシック" w:hAnsi="ＭＳ Ｐゴシック" w:hint="eastAsia"/>
          <w:sz w:val="22"/>
        </w:rPr>
        <w:t>歳以上で増加している。引き続き受診勧奨及び保健指導の徹底が課題となります。</w:t>
      </w:r>
    </w:p>
    <w:p w:rsidR="00584782" w:rsidRDefault="003A4011">
      <w:pPr>
        <w:rPr>
          <w:rFonts w:ascii="ＭＳ Ｐゴシック" w:eastAsia="ＭＳ Ｐゴシック" w:hAnsi="ＭＳ Ｐゴシック"/>
          <w:color w:val="2E74B5" w:themeColor="accent1" w:themeShade="BF"/>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の短期目標疾患（高血圧・糖尿病）とする合併症をみると</w:t>
      </w:r>
      <w:r>
        <w:rPr>
          <w:rFonts w:ascii="ＭＳ Ｐゴシック" w:eastAsia="ＭＳ Ｐゴシック" w:hAnsi="ＭＳ Ｐゴシック" w:hint="eastAsia"/>
          <w:color w:val="2E74B5" w:themeColor="accent1" w:themeShade="BF"/>
          <w:sz w:val="22"/>
        </w:rPr>
        <w:t>、</w:t>
      </w:r>
      <w:r>
        <w:rPr>
          <w:rFonts w:ascii="ＭＳ Ｐゴシック" w:eastAsia="ＭＳ Ｐゴシック" w:hAnsi="ＭＳ Ｐゴシック" w:hint="eastAsia"/>
          <w:sz w:val="22"/>
        </w:rPr>
        <w:t>高血圧においては、</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歳は若干割合が減っていますが、</w:t>
      </w:r>
      <w:r>
        <w:rPr>
          <w:rFonts w:ascii="ＭＳ Ｐゴシック" w:eastAsia="ＭＳ Ｐゴシック" w:hAnsi="ＭＳ Ｐゴシック" w:hint="eastAsia"/>
          <w:sz w:val="22"/>
        </w:rPr>
        <w:t>65</w:t>
      </w:r>
      <w:r>
        <w:rPr>
          <w:rFonts w:ascii="ＭＳ Ｐゴシック" w:eastAsia="ＭＳ Ｐゴシック" w:hAnsi="ＭＳ Ｐゴシック" w:hint="eastAsia"/>
          <w:sz w:val="22"/>
        </w:rPr>
        <w:t>歳以上は増加しています。糖尿病においては、</w:t>
      </w:r>
      <w:r>
        <w:rPr>
          <w:rFonts w:ascii="ＭＳ Ｐゴシック" w:eastAsia="ＭＳ Ｐゴシック" w:hAnsi="ＭＳ Ｐゴシック" w:hint="eastAsia"/>
          <w:sz w:val="22"/>
        </w:rPr>
        <w:t>40</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歳、</w:t>
      </w:r>
      <w:r>
        <w:rPr>
          <w:rFonts w:ascii="ＭＳ Ｐゴシック" w:eastAsia="ＭＳ Ｐゴシック" w:hAnsi="ＭＳ Ｐゴシック" w:hint="eastAsia"/>
          <w:sz w:val="22"/>
        </w:rPr>
        <w:t>65</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74</w:t>
      </w:r>
      <w:r>
        <w:rPr>
          <w:rFonts w:ascii="ＭＳ Ｐゴシック" w:eastAsia="ＭＳ Ｐゴシック" w:hAnsi="ＭＳ Ｐゴシック" w:hint="eastAsia"/>
          <w:sz w:val="22"/>
        </w:rPr>
        <w:t>歳で減少が見られます。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41</w:t>
      </w:r>
      <w:r>
        <w:rPr>
          <w:rFonts w:ascii="ＭＳ Ｐゴシック" w:eastAsia="ＭＳ Ｐゴシック" w:hAnsi="ＭＳ Ｐゴシック" w:hint="eastAsia"/>
          <w:sz w:val="22"/>
        </w:rPr>
        <w:t>の中長期疾患（脳血管・虚血性心疾患・心不全・腎不全）において、</w:t>
      </w:r>
      <w:r>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年度と</w:t>
      </w:r>
      <w:r>
        <w:rPr>
          <w:rFonts w:ascii="ＭＳ Ｐゴシック" w:eastAsia="ＭＳ Ｐゴシック" w:hAnsi="ＭＳ Ｐゴシック" w:hint="eastAsia"/>
          <w:sz w:val="22"/>
        </w:rPr>
        <w:t>R4</w:t>
      </w:r>
      <w:r>
        <w:rPr>
          <w:rFonts w:ascii="ＭＳ Ｐゴシック" w:eastAsia="ＭＳ Ｐゴシック" w:hAnsi="ＭＳ Ｐゴシック" w:hint="eastAsia"/>
          <w:sz w:val="22"/>
        </w:rPr>
        <w:t>年度を比較すると、虚血性心疾患、心不全でどの年代も改善がみれます。脳血管疾患、腎不全では、若い年代でＲ</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年度の割合が、若干上昇しています。また、中長期疾患のうち介護認定者はどの疾患においても増加傾向にあり、介護予防が必要であることが分かります。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（４）優先して解決を目指す健康課題の優先順位付け</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0070C0"/>
          <w:sz w:val="22"/>
        </w:rPr>
        <w:t xml:space="preserve">　</w:t>
      </w:r>
      <w:r>
        <w:rPr>
          <w:rFonts w:ascii="ＭＳ Ｐゴシック" w:eastAsia="ＭＳ Ｐゴシック" w:hAnsi="ＭＳ Ｐゴシック" w:hint="eastAsia"/>
          <w:sz w:val="22"/>
        </w:rPr>
        <w:t>健康課題の明確化で整理した結果</w:t>
      </w:r>
      <w:r>
        <w:rPr>
          <w:rFonts w:ascii="ＭＳ Ｐゴシック" w:eastAsia="ＭＳ Ｐゴシック" w:hAnsi="ＭＳ Ｐゴシック" w:hint="eastAsia"/>
          <w:sz w:val="22"/>
        </w:rPr>
        <w:t>を踏まえると、中長期疾患（脳血管疾患・虚血性心疾患・腎不全）に共通した高血圧、糖尿病等に重なりがあります。高血圧や糖尿病等の早期受診勧奨や治療中断を防ぐ保健指導を継続していくことが、脳血管疾患、虚血性心疾患等への重症化を防ぐことにつながり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具体的な取組方法については、第</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章に記載していきます。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4"/>
        </w:rPr>
      </w:pPr>
      <w:r>
        <w:rPr>
          <w:rFonts w:ascii="ＭＳ Ｐゴシック" w:eastAsia="ＭＳ Ｐゴシック" w:hAnsi="ＭＳ Ｐゴシック" w:hint="eastAsia"/>
          <w:sz w:val="24"/>
        </w:rPr>
        <w:t>２）　目標の設定</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（１）成果目標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①データヘルス計画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保健事業全体</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の目的、目標、目標を達成するための方策</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保険者は、健診・医療情報を活用して</w:t>
      </w:r>
      <w:r>
        <w:rPr>
          <w:rFonts w:ascii="ＭＳ Ｐゴシック" w:eastAsia="ＭＳ Ｐゴシック" w:hAnsi="ＭＳ Ｐゴシック" w:hint="eastAsia"/>
          <w:sz w:val="22"/>
        </w:rPr>
        <w:t>PDCA</w:t>
      </w:r>
      <w:r>
        <w:rPr>
          <w:rFonts w:ascii="ＭＳ Ｐゴシック" w:eastAsia="ＭＳ Ｐゴシック" w:hAnsi="ＭＳ Ｐゴシック" w:hint="eastAsia"/>
          <w:sz w:val="22"/>
        </w:rPr>
        <w:t>サイクルに沿った効果的かつ効率的な保健事業の実施を図るこ</w:t>
      </w:r>
      <w:r>
        <w:rPr>
          <w:rFonts w:ascii="ＭＳ Ｐゴシック" w:eastAsia="ＭＳ Ｐゴシック" w:hAnsi="ＭＳ Ｐゴシック" w:hint="eastAsia"/>
          <w:sz w:val="22"/>
        </w:rPr>
        <w:t>とが求められており、計画から見直します。改善までのプロセスを継続することによって、よりよい成果をあげていくことが期待できます。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そのため、評価の目的、方法、基準、時期、評価者、評価結果の活用について、計画の段階から明確にします。評価指標については、まず全ての都道府県で設定することが望ましい指標と、地域の実情に応じて設定する指標</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43)</w:t>
      </w:r>
      <w:r>
        <w:rPr>
          <w:rFonts w:ascii="ＭＳ Ｐゴシック" w:eastAsia="ＭＳ Ｐゴシック" w:hAnsi="ＭＳ Ｐゴシック" w:hint="eastAsia"/>
          <w:sz w:val="22"/>
        </w:rPr>
        <w:t>に設定し、評価結果のうち公表するものを明確にします。</w:t>
      </w:r>
    </w:p>
    <w:p w:rsidR="00584782" w:rsidRDefault="00584782">
      <w:pPr>
        <w:ind w:left="125"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②中長期的な目標の設定　</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これまでの健診・医療情報を分析した結果、医療費が高額となる疾患、</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か月以上の長期入院となる</w:t>
      </w:r>
      <w:r>
        <w:rPr>
          <w:rFonts w:ascii="ＭＳ Ｐゴシック" w:eastAsia="ＭＳ Ｐゴシック" w:hAnsi="ＭＳ Ｐゴシック" w:hint="eastAsia"/>
          <w:sz w:val="22"/>
        </w:rPr>
        <w:t xml:space="preserve">疾患、人工透析となる疾患及び介護認定者の有病状況の多い脳血管疾患及び虚血性心疾患、慢性腎不全の総医療費に占める割合を、最終年度には減少させることを目指します。　</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しかし、年齢が高くなるほど、脳、心臓、腎臓の</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つの臓器の血管も傷んでくることを考えると、高齢化が進展する昨今では、医療費そのものを抑えることが厳しいことから、医療費の伸びを抑えることで最低限維持することを目標とします。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また、軽症時に通院せず、重症化して入院することから、重症化予防、医療費適正化へつなげるには、適切な時期での受診を促し、入院に掛かる医療費を抑えることを目指します。</w:t>
      </w:r>
    </w:p>
    <w:p w:rsidR="00584782" w:rsidRDefault="00584782">
      <w:pPr>
        <w:spacing w:line="160" w:lineRule="exact"/>
        <w:ind w:left="125" w:firstLine="221"/>
        <w:rPr>
          <w:rFonts w:ascii="ＭＳ Ｐゴシック" w:eastAsia="ＭＳ Ｐゴシック" w:hAnsi="ＭＳ Ｐゴシック"/>
          <w:sz w:val="22"/>
        </w:rPr>
      </w:pPr>
    </w:p>
    <w:p w:rsidR="00584782" w:rsidRDefault="00584782">
      <w:pPr>
        <w:spacing w:line="160" w:lineRule="exact"/>
        <w:ind w:left="125" w:firstLine="221"/>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③短期的な目標の設定</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脳血管疾患、虚血性心疾患、糖尿病性腎症の血管変化における共通のリスクとなる、高血圧、糖尿病、脂質異常症、メタボリックシンドローム等を減らしていくことを短期的な目標とします。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特にメタボリックシンドローム該当者及び予備群を減少することを目指します。そのためには、医療機関と十分な連携を図り、医療受診が必要な者に適切な働きかけ</w:t>
      </w:r>
      <w:r>
        <w:rPr>
          <w:rFonts w:ascii="ＭＳ Ｐゴシック" w:eastAsia="ＭＳ Ｐゴシック" w:hAnsi="ＭＳ Ｐゴシック" w:hint="eastAsia"/>
          <w:sz w:val="22"/>
        </w:rPr>
        <w:t>や治療継続への働きかけをするとともに、医療受診を中断している者についても適切な保健指導を行います。</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また根本的な改善に至っていない疾患に糖尿病とメタボリックシンドロームが考えられるが、これらは薬物療法だけでは改善が難しく、食事療法と併用して治療を行うことが効果的であると考えられるため、医療機関と連携して、栄養指導等の保健指導を行います。具体的には、日本人食事摂取基準（</w:t>
      </w:r>
      <w:r>
        <w:rPr>
          <w:rFonts w:ascii="ＭＳ Ｐゴシック" w:eastAsia="ＭＳ Ｐゴシック" w:hAnsi="ＭＳ Ｐゴシック" w:hint="eastAsia"/>
          <w:sz w:val="22"/>
        </w:rPr>
        <w:t>2020</w:t>
      </w:r>
      <w:r>
        <w:rPr>
          <w:rFonts w:ascii="ＭＳ Ｐゴシック" w:eastAsia="ＭＳ Ｐゴシック" w:hAnsi="ＭＳ Ｐゴシック" w:hint="eastAsia"/>
          <w:sz w:val="22"/>
        </w:rPr>
        <w:t>年版）の基本的な考え方を基に、血圧、血糖、脂質、慢性腎臓病</w:t>
      </w:r>
      <w:r>
        <w:rPr>
          <w:rFonts w:ascii="ＭＳ Ｐゴシック" w:eastAsia="ＭＳ Ｐゴシック" w:hAnsi="ＭＳ Ｐゴシック" w:hint="eastAsia"/>
          <w:sz w:val="22"/>
        </w:rPr>
        <w:t>(CKD)</w:t>
      </w:r>
      <w:r>
        <w:rPr>
          <w:rFonts w:ascii="ＭＳ Ｐゴシック" w:eastAsia="ＭＳ Ｐゴシック" w:hAnsi="ＭＳ Ｐゴシック" w:hint="eastAsia"/>
          <w:sz w:val="22"/>
        </w:rPr>
        <w:t>の検査結果の改善を目指します。</w:t>
      </w:r>
    </w:p>
    <w:p w:rsidR="00584782" w:rsidRDefault="003A4011">
      <w:pPr>
        <w:ind w:leftChars="-59" w:left="-1" w:hangingChars="56" w:hanging="123"/>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さらに生活習慣病は自覚症状がな</w:t>
      </w:r>
      <w:r>
        <w:rPr>
          <w:rFonts w:ascii="ＭＳ Ｐゴシック" w:eastAsia="ＭＳ Ｐゴシック" w:hAnsi="ＭＳ Ｐゴシック" w:hint="eastAsia"/>
          <w:sz w:val="22"/>
        </w:rPr>
        <w:t>いため、まずは健診の機会を提供し健診受診率の向上を目指し、個人の状態に応じた保健指導の実施により生活習慣病の発症予防・重症化予防につなげることが重要であるため、その目標値は、第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章の「特定健診・特定保健指導の実施</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法定義務</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」に記載します。</w:t>
      </w: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584782">
      <w:pPr>
        <w:rPr>
          <w:rFonts w:ascii="ＭＳ Ｐゴシック" w:eastAsia="ＭＳ Ｐゴシック" w:hAnsi="ＭＳ Ｐゴシック"/>
          <w:sz w:val="24"/>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2"/>
        </w:rPr>
        <w:t>管理目標の設定</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43</w:t>
      </w:r>
      <w:r>
        <w:rPr>
          <w:rFonts w:ascii="ＭＳ Ｐゴシック" w:eastAsia="ＭＳ Ｐゴシック" w:hAnsi="ＭＳ Ｐゴシック" w:hint="eastAsia"/>
          <w:sz w:val="22"/>
        </w:rPr>
        <w:t xml:space="preserve">　第３期データヘルス計画目標管理一覧</w:t>
      </w:r>
    </w:p>
    <w:p w:rsidR="00584782" w:rsidRDefault="00584782">
      <w:pPr>
        <w:rPr>
          <w:rFonts w:ascii="ＭＳ Ｐゴシック" w:eastAsia="ＭＳ Ｐゴシック" w:hAnsi="ＭＳ Ｐゴシック"/>
          <w:sz w:val="22"/>
        </w:rPr>
      </w:pPr>
    </w:p>
    <w:p w:rsidR="00584782" w:rsidRDefault="003A4011">
      <w:pPr>
        <w:jc w:val="right"/>
        <w:rPr>
          <w:rFonts w:ascii="ＭＳ Ｐゴシック" w:eastAsia="ＭＳ Ｐゴシック" w:hAnsi="ＭＳ Ｐゴシック"/>
          <w:sz w:val="18"/>
        </w:rPr>
      </w:pPr>
      <w:r>
        <w:rPr>
          <w:rFonts w:ascii="ＭＳ Ｐゴシック" w:eastAsia="ＭＳ Ｐゴシック" w:hAnsi="ＭＳ Ｐゴシック" w:hint="eastAsia"/>
          <w:sz w:val="18"/>
        </w:rPr>
        <w:t>★すべての都道府県で設定することが望ましい指標</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7425" cy="6895465"/>
            <wp:effectExtent l="0" t="0" r="0" b="0"/>
            <wp:docPr id="1078" name="オブジェクト 0"/>
            <wp:cNvGraphicFramePr/>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55"/>
                    <a:stretch>
                      <a:fillRect/>
                    </a:stretch>
                  </pic:blipFill>
                  <pic:spPr>
                    <a:xfrm>
                      <a:off x="0" y="0"/>
                      <a:ext cx="6067425" cy="6895465"/>
                    </a:xfrm>
                    <a:prstGeom prst="rect">
                      <a:avLst/>
                    </a:prstGeom>
                  </pic:spPr>
                </pic:pic>
              </a:graphicData>
            </a:graphic>
          </wp:inline>
        </w:drawing>
      </w:r>
    </w:p>
    <w:p w:rsidR="00584782" w:rsidRDefault="00584782">
      <w:pPr>
        <w:jc w:val="right"/>
        <w:rPr>
          <w:rFonts w:ascii="ＭＳ Ｐゴシック" w:eastAsia="ＭＳ Ｐゴシック" w:hAnsi="ＭＳ Ｐゴシック"/>
          <w:sz w:val="32"/>
        </w:rPr>
      </w:pPr>
    </w:p>
    <w:p w:rsidR="00584782" w:rsidRDefault="00584782">
      <w:pPr>
        <w:spacing w:line="440" w:lineRule="exact"/>
        <w:jc w:val="left"/>
        <w:rPr>
          <w:rFonts w:ascii="ＭＳ Ｐゴシック" w:eastAsia="ＭＳ Ｐゴシック" w:hAnsi="ＭＳ Ｐゴシック"/>
          <w:sz w:val="32"/>
        </w:rPr>
      </w:pPr>
    </w:p>
    <w:p w:rsidR="00584782" w:rsidRDefault="00584782">
      <w:pPr>
        <w:spacing w:line="440" w:lineRule="exact"/>
        <w:jc w:val="left"/>
        <w:rPr>
          <w:rFonts w:ascii="ＭＳ Ｐゴシック" w:eastAsia="ＭＳ Ｐゴシック" w:hAnsi="ＭＳ Ｐゴシック"/>
          <w:sz w:val="32"/>
        </w:rPr>
      </w:pPr>
    </w:p>
    <w:p w:rsidR="00584782" w:rsidRDefault="003A4011">
      <w:pPr>
        <w:spacing w:line="440" w:lineRule="exact"/>
        <w:jc w:val="left"/>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第３章　特定健診・特定保健指導の実施（法定義務）</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１．第四期特定健康診査等実施計画について</w:t>
      </w:r>
    </w:p>
    <w:p w:rsidR="00584782" w:rsidRDefault="003A4011">
      <w:pPr>
        <w:rPr>
          <w:rFonts w:ascii="ＭＳ Ｐゴシック" w:eastAsia="ＭＳ Ｐゴシック" w:hAnsi="ＭＳ Ｐゴシック"/>
          <w:sz w:val="22"/>
        </w:rPr>
      </w:pPr>
      <w:r>
        <w:rPr>
          <w:rFonts w:asciiTheme="majorEastAsia" w:eastAsiaTheme="majorEastAsia" w:hAnsiTheme="majorEastAsia" w:hint="eastAsia"/>
          <w:sz w:val="22"/>
        </w:rPr>
        <w:t xml:space="preserve">　</w:t>
      </w:r>
      <w:r>
        <w:rPr>
          <w:rFonts w:ascii="ＭＳ Ｐゴシック" w:eastAsia="ＭＳ Ｐゴシック" w:hAnsi="ＭＳ Ｐゴシック" w:hint="eastAsia"/>
          <w:sz w:val="22"/>
        </w:rPr>
        <w:t>保険者は、高齢者の医療の確保に関する法律第</w:t>
      </w:r>
      <w:r>
        <w:rPr>
          <w:rFonts w:ascii="ＭＳ Ｐゴシック" w:eastAsia="ＭＳ Ｐゴシック" w:hAnsi="ＭＳ Ｐゴシック" w:hint="eastAsia"/>
          <w:sz w:val="22"/>
        </w:rPr>
        <w:t>19</w:t>
      </w:r>
      <w:r>
        <w:rPr>
          <w:rFonts w:ascii="ＭＳ Ｐゴシック" w:eastAsia="ＭＳ Ｐゴシック" w:hAnsi="ＭＳ Ｐゴシック" w:hint="eastAsia"/>
          <w:sz w:val="22"/>
        </w:rPr>
        <w:t>条に基づき、特定健康診査等実施計画を定めます。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なお、第一期及び第二期は</w:t>
      </w:r>
      <w:r>
        <w:rPr>
          <w:rFonts w:ascii="ＭＳ Ｐゴシック" w:eastAsia="ＭＳ Ｐゴシック" w:hAnsi="ＭＳ Ｐゴシック" w:hint="eastAsia"/>
          <w:sz w:val="22"/>
        </w:rPr>
        <w:t>5</w:t>
      </w:r>
      <w:r>
        <w:rPr>
          <w:rFonts w:ascii="ＭＳ Ｐゴシック" w:eastAsia="ＭＳ Ｐゴシック" w:hAnsi="ＭＳ Ｐゴシック" w:hint="eastAsia"/>
          <w:sz w:val="22"/>
        </w:rPr>
        <w:t>年を一期としていたが、医療費適正化計画等が</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年一期に改正されたことを踏まえ、第三期以降は実施計画も</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年を一期として策定します。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２．目標値の設定</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44</w:t>
      </w:r>
      <w:r>
        <w:rPr>
          <w:rFonts w:ascii="ＭＳ Ｐゴシック" w:eastAsia="ＭＳ Ｐゴシック" w:hAnsi="ＭＳ Ｐゴシック" w:hint="eastAsia"/>
          <w:sz w:val="22"/>
        </w:rPr>
        <w:t xml:space="preserve">　特定健診受診率・特定保健指導実施率</w:t>
      </w:r>
    </w:p>
    <w:p w:rsidR="00584782" w:rsidRDefault="003A4011">
      <w:pPr>
        <w:rPr>
          <w:rFonts w:asciiTheme="majorEastAsia" w:eastAsiaTheme="majorEastAsia" w:hAnsiTheme="majorEastAsia"/>
          <w:sz w:val="24"/>
        </w:rPr>
      </w:pPr>
      <w:r>
        <w:rPr>
          <w:rFonts w:hint="eastAsia"/>
          <w:noProof/>
        </w:rPr>
        <w:drawing>
          <wp:inline distT="0" distB="0" distL="203200" distR="203200">
            <wp:extent cx="5851525" cy="971550"/>
            <wp:effectExtent l="0" t="0" r="0" b="0"/>
            <wp:docPr id="1079" name="オブジェクト 0"/>
            <wp:cNvGraphicFramePr/>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56"/>
                    <a:stretch>
                      <a:fillRect/>
                    </a:stretch>
                  </pic:blipFill>
                  <pic:spPr>
                    <a:xfrm>
                      <a:off x="0" y="0"/>
                      <a:ext cx="5851525" cy="971550"/>
                    </a:xfrm>
                    <a:prstGeom prst="rect">
                      <a:avLst/>
                    </a:prstGeom>
                  </pic:spPr>
                </pic:pic>
              </a:graphicData>
            </a:graphic>
          </wp:inline>
        </w:drawing>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３．対象者の見込み</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45</w:t>
      </w:r>
      <w:r>
        <w:rPr>
          <w:rFonts w:ascii="ＭＳ Ｐゴシック" w:eastAsia="ＭＳ Ｐゴシック" w:hAnsi="ＭＳ Ｐゴシック" w:hint="eastAsia"/>
          <w:sz w:val="22"/>
        </w:rPr>
        <w:t xml:space="preserve">　特定健診・特定保健指導対象者の見込み</w:t>
      </w:r>
    </w:p>
    <w:p w:rsidR="00584782" w:rsidRDefault="003A4011">
      <w:pPr>
        <w:rPr>
          <w:rFonts w:asciiTheme="majorEastAsia" w:eastAsiaTheme="majorEastAsia" w:hAnsiTheme="majorEastAsia"/>
          <w:sz w:val="24"/>
        </w:rPr>
      </w:pPr>
      <w:r>
        <w:rPr>
          <w:rFonts w:hint="eastAsia"/>
          <w:noProof/>
        </w:rPr>
        <w:drawing>
          <wp:inline distT="0" distB="0" distL="203200" distR="203200">
            <wp:extent cx="5849620" cy="1540510"/>
            <wp:effectExtent l="0" t="0" r="0" b="0"/>
            <wp:docPr id="1080" name="オブジェクト 0"/>
            <wp:cNvGraphicFramePr/>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57"/>
                    <a:stretch>
                      <a:fillRect/>
                    </a:stretch>
                  </pic:blipFill>
                  <pic:spPr>
                    <a:xfrm>
                      <a:off x="0" y="0"/>
                      <a:ext cx="5849620" cy="1540510"/>
                    </a:xfrm>
                    <a:prstGeom prst="rect">
                      <a:avLst/>
                    </a:prstGeom>
                  </pic:spPr>
                </pic:pic>
              </a:graphicData>
            </a:graphic>
          </wp:inline>
        </w:drawing>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４．特定健診の実施</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（１）実施方法</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健診については、特定健診実施機関に委託する。県医師会が実施機関の取りまとめを行い、県医師会と市町村国保側の取りまとめ機関である国保連合会が集合契約を行います。</w:t>
      </w:r>
    </w:p>
    <w:p w:rsidR="00584782" w:rsidRDefault="003A4011">
      <w:pPr>
        <w:pStyle w:val="a3"/>
        <w:numPr>
          <w:ilvl w:val="0"/>
          <w:numId w:val="4"/>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集団健診（</w:t>
      </w:r>
      <w:r>
        <w:rPr>
          <w:rFonts w:ascii="ＭＳ Ｐゴシック" w:eastAsia="ＭＳ Ｐゴシック" w:hAnsi="ＭＳ Ｐゴシック" w:hint="eastAsia"/>
          <w:sz w:val="22"/>
        </w:rPr>
        <w:t>本庁舎）</w:t>
      </w:r>
    </w:p>
    <w:p w:rsidR="00584782" w:rsidRDefault="003A4011">
      <w:pPr>
        <w:pStyle w:val="a3"/>
        <w:numPr>
          <w:ilvl w:val="0"/>
          <w:numId w:val="4"/>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個別健診（委託医療機関）</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（２）特定健診委託基準</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高齢者の医療の確保に関する法律第</w:t>
      </w:r>
      <w:r>
        <w:rPr>
          <w:rFonts w:ascii="ＭＳ Ｐゴシック" w:eastAsia="ＭＳ Ｐゴシック" w:hAnsi="ＭＳ Ｐゴシック" w:hint="eastAsia"/>
          <w:sz w:val="22"/>
        </w:rPr>
        <w:t>28</w:t>
      </w:r>
      <w:r>
        <w:rPr>
          <w:rFonts w:ascii="ＭＳ Ｐゴシック" w:eastAsia="ＭＳ Ｐゴシック" w:hAnsi="ＭＳ Ｐゴシック" w:hint="eastAsia"/>
          <w:sz w:val="22"/>
        </w:rPr>
        <w:t>条、および実施基準第</w:t>
      </w:r>
      <w:r>
        <w:rPr>
          <w:rFonts w:ascii="ＭＳ Ｐゴシック" w:eastAsia="ＭＳ Ｐゴシック" w:hAnsi="ＭＳ Ｐゴシック" w:hint="eastAsia"/>
          <w:sz w:val="22"/>
        </w:rPr>
        <w:t>16</w:t>
      </w:r>
      <w:r>
        <w:rPr>
          <w:rFonts w:ascii="ＭＳ Ｐゴシック" w:eastAsia="ＭＳ Ｐゴシック" w:hAnsi="ＭＳ Ｐゴシック" w:hint="eastAsia"/>
          <w:sz w:val="22"/>
        </w:rPr>
        <w:t>条第</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項に基づき、具体的に委託できるものの基準については、厚生労働大臣の告示において定められています。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（３）健診実施機関リスト</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特定健診実施機関については、</w:t>
      </w:r>
      <w:r>
        <w:rPr>
          <w:rFonts w:ascii="ＭＳ Ｐゴシック" w:eastAsia="ＭＳ Ｐゴシック" w:hAnsi="ＭＳ Ｐゴシック" w:hint="eastAsia"/>
          <w:sz w:val="22"/>
        </w:rPr>
        <w:t>本町</w:t>
      </w:r>
      <w:r>
        <w:rPr>
          <w:rFonts w:ascii="ＭＳ Ｐゴシック" w:eastAsia="ＭＳ Ｐゴシック" w:hAnsi="ＭＳ Ｐゴシック" w:hint="eastAsia"/>
          <w:sz w:val="22"/>
        </w:rPr>
        <w:t>のホームページに掲載する。</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 xml:space="preserve">　　（参照）</w:t>
      </w:r>
      <w:r>
        <w:rPr>
          <w:rFonts w:asciiTheme="majorEastAsia" w:eastAsiaTheme="majorEastAsia" w:hAnsiTheme="majorEastAsia" w:hint="eastAsia"/>
          <w:sz w:val="22"/>
        </w:rPr>
        <w:t>URL</w:t>
      </w:r>
      <w:r>
        <w:rPr>
          <w:rFonts w:asciiTheme="majorEastAsia" w:eastAsiaTheme="majorEastAsia" w:hAnsiTheme="majorEastAsia" w:hint="eastAsia"/>
          <w:sz w:val="22"/>
        </w:rPr>
        <w:t>：</w:t>
      </w:r>
      <w:r>
        <w:rPr>
          <w:rFonts w:asciiTheme="majorEastAsia" w:eastAsiaTheme="majorEastAsia" w:hAnsiTheme="majorEastAsia" w:hint="eastAsia"/>
          <w:sz w:val="22"/>
        </w:rPr>
        <w:t>h</w:t>
      </w:r>
      <w:r>
        <w:rPr>
          <w:rFonts w:asciiTheme="majorEastAsia" w:eastAsiaTheme="majorEastAsia" w:hAnsiTheme="majorEastAsia"/>
          <w:sz w:val="22"/>
        </w:rPr>
        <w:t>tt</w:t>
      </w:r>
      <w:r>
        <w:rPr>
          <w:rFonts w:asciiTheme="majorEastAsia" w:eastAsiaTheme="majorEastAsia" w:hAnsiTheme="majorEastAsia"/>
          <w:sz w:val="22"/>
        </w:rPr>
        <w:t>p//</w:t>
      </w:r>
      <w:r>
        <w:rPr>
          <w:rFonts w:asciiTheme="majorEastAsia" w:eastAsiaTheme="majorEastAsia" w:hAnsiTheme="majorEastAsia" w:hint="eastAsia"/>
          <w:sz w:val="22"/>
        </w:rPr>
        <w:t>www:town.motobu.okinawa.jp/</w:t>
      </w:r>
      <w:r>
        <w:rPr>
          <w:rFonts w:asciiTheme="majorEastAsia" w:eastAsiaTheme="majorEastAsia" w:hAnsiTheme="majorEastAsia"/>
          <w:sz w:val="22"/>
        </w:rPr>
        <w:t xml:space="preserve">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（４）特定健診実施項目</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内臓脂肪型肥満に着目した生活習慣病予防のための特定保健指導対象者を抽出する国が定めた項目に加え、追加の検査（</w:t>
      </w:r>
      <w:r>
        <w:rPr>
          <w:rFonts w:ascii="ＭＳ Ｐゴシック" w:eastAsia="ＭＳ Ｐゴシック" w:hAnsi="ＭＳ Ｐゴシック" w:hint="eastAsia"/>
          <w:sz w:val="22"/>
        </w:rPr>
        <w:t>HbA1C</w:t>
      </w:r>
      <w:r>
        <w:rPr>
          <w:rFonts w:ascii="ＭＳ Ｐゴシック" w:eastAsia="ＭＳ Ｐゴシック" w:hAnsi="ＭＳ Ｐゴシック" w:hint="eastAsia"/>
          <w:sz w:val="22"/>
        </w:rPr>
        <w:t>・血清クレアチニン・尿酸・尿潜血）を実施します。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また、血中脂質検査のうち</w:t>
      </w:r>
      <w:r>
        <w:rPr>
          <w:rFonts w:ascii="ＭＳ Ｐゴシック" w:eastAsia="ＭＳ Ｐゴシック" w:hAnsi="ＭＳ Ｐゴシック" w:hint="eastAsia"/>
          <w:sz w:val="22"/>
        </w:rPr>
        <w:t>LDL</w:t>
      </w:r>
      <w:r>
        <w:rPr>
          <w:rFonts w:ascii="ＭＳ Ｐゴシック" w:eastAsia="ＭＳ Ｐゴシック" w:hAnsi="ＭＳ Ｐゴシック" w:hint="eastAsia"/>
          <w:sz w:val="22"/>
        </w:rPr>
        <w:t>コレステロールについては、中性脂肪が</w:t>
      </w:r>
      <w:r>
        <w:rPr>
          <w:rFonts w:ascii="ＭＳ Ｐゴシック" w:eastAsia="ＭＳ Ｐゴシック" w:hAnsi="ＭＳ Ｐゴシック" w:hint="eastAsia"/>
          <w:sz w:val="22"/>
        </w:rPr>
        <w:t>400mg/dl</w:t>
      </w:r>
      <w:r>
        <w:rPr>
          <w:rFonts w:ascii="ＭＳ Ｐゴシック" w:eastAsia="ＭＳ Ｐゴシック" w:hAnsi="ＭＳ Ｐゴシック" w:hint="eastAsia"/>
          <w:sz w:val="22"/>
        </w:rPr>
        <w:t>以上または食後採血の場合は、</w:t>
      </w:r>
      <w:r>
        <w:rPr>
          <w:rFonts w:ascii="ＭＳ Ｐゴシック" w:eastAsia="ＭＳ Ｐゴシック" w:hAnsi="ＭＳ Ｐゴシック" w:hint="eastAsia"/>
          <w:sz w:val="22"/>
        </w:rPr>
        <w:t>non-HDL</w:t>
      </w:r>
      <w:r>
        <w:rPr>
          <w:rFonts w:ascii="ＭＳ Ｐゴシック" w:eastAsia="ＭＳ Ｐゴシック" w:hAnsi="ＭＳ Ｐゴシック" w:hint="eastAsia"/>
          <w:sz w:val="22"/>
        </w:rPr>
        <w:t>コレステロールの測定にかえられます。（実施基準第</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条第</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項）</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46</w:t>
      </w:r>
      <w:r>
        <w:rPr>
          <w:rFonts w:ascii="ＭＳ Ｐゴシック" w:eastAsia="ＭＳ Ｐゴシック" w:hAnsi="ＭＳ Ｐゴシック" w:hint="eastAsia"/>
          <w:sz w:val="22"/>
        </w:rPr>
        <w:t xml:space="preserve">　特定健診検査項目（本部町）</w:t>
      </w:r>
    </w:p>
    <w:tbl>
      <w:tblPr>
        <w:tblW w:w="7660" w:type="dxa"/>
        <w:tblLayout w:type="fixed"/>
        <w:tblCellMar>
          <w:left w:w="0" w:type="dxa"/>
          <w:right w:w="0" w:type="dxa"/>
        </w:tblCellMar>
        <w:tblLook w:val="04A0" w:firstRow="1" w:lastRow="0" w:firstColumn="1" w:lastColumn="0" w:noHBand="0" w:noVBand="1"/>
      </w:tblPr>
      <w:tblGrid>
        <w:gridCol w:w="1804"/>
        <w:gridCol w:w="2522"/>
        <w:gridCol w:w="1725"/>
        <w:gridCol w:w="1609"/>
      </w:tblGrid>
      <w:tr w:rsidR="00584782">
        <w:trPr>
          <w:trHeight w:val="313"/>
        </w:trPr>
        <w:tc>
          <w:tcPr>
            <w:tcW w:w="432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5" w:type="dxa"/>
              <w:bottom w:w="0" w:type="dxa"/>
              <w:right w:w="5" w:type="dxa"/>
            </w:tcMar>
            <w:vAlign w:val="center"/>
          </w:tcPr>
          <w:p w:rsidR="00584782" w:rsidRDefault="003A4011">
            <w:pPr>
              <w:shd w:val="clear" w:color="auto" w:fill="D9D9D9"/>
              <w:jc w:val="center"/>
              <w:rPr>
                <w:rFonts w:ascii="ＭＳ Ｐゴシック" w:eastAsia="ＭＳ Ｐゴシック" w:hAnsi="ＭＳ Ｐゴシック"/>
                <w:sz w:val="18"/>
              </w:rPr>
            </w:pPr>
            <w:r>
              <w:rPr>
                <w:rFonts w:ascii="ＭＳ Ｐゴシック" w:eastAsia="ＭＳ Ｐゴシック" w:hAnsi="ＭＳ Ｐゴシック"/>
                <w:sz w:val="18"/>
              </w:rPr>
              <w:t>健診項目</w:t>
            </w:r>
          </w:p>
        </w:tc>
        <w:tc>
          <w:tcPr>
            <w:tcW w:w="1725" w:type="dxa"/>
            <w:tcBorders>
              <w:top w:val="single" w:sz="4" w:space="0" w:color="000000"/>
              <w:left w:val="single" w:sz="4" w:space="0" w:color="000000"/>
              <w:bottom w:val="nil"/>
              <w:right w:val="single" w:sz="4" w:space="0" w:color="000000"/>
            </w:tcBorders>
            <w:shd w:val="clear" w:color="auto" w:fill="D9D9D9"/>
            <w:tcMar>
              <w:top w:w="0" w:type="dxa"/>
              <w:left w:w="5" w:type="dxa"/>
              <w:bottom w:w="0" w:type="dxa"/>
              <w:right w:w="5" w:type="dxa"/>
            </w:tcMar>
            <w:vAlign w:val="center"/>
          </w:tcPr>
          <w:p w:rsidR="00584782" w:rsidRDefault="003A4011">
            <w:pPr>
              <w:shd w:val="clear" w:color="auto" w:fill="D9D9D9"/>
              <w:jc w:val="center"/>
              <w:rPr>
                <w:rFonts w:ascii="ＭＳ Ｐゴシック" w:eastAsia="ＭＳ Ｐゴシック" w:hAnsi="ＭＳ Ｐゴシック"/>
                <w:sz w:val="18"/>
              </w:rPr>
            </w:pPr>
            <w:r>
              <w:rPr>
                <w:rFonts w:ascii="ＭＳ Ｐゴシック" w:eastAsia="ＭＳ Ｐゴシック" w:hAnsi="ＭＳ Ｐゴシック"/>
                <w:sz w:val="18"/>
              </w:rPr>
              <w:t>本部町</w:t>
            </w:r>
          </w:p>
        </w:tc>
        <w:tc>
          <w:tcPr>
            <w:tcW w:w="1609" w:type="dxa"/>
            <w:tcBorders>
              <w:top w:val="single" w:sz="4" w:space="0" w:color="000000"/>
              <w:left w:val="single" w:sz="4" w:space="0" w:color="000000"/>
              <w:bottom w:val="nil"/>
              <w:right w:val="single" w:sz="4" w:space="0" w:color="000000"/>
            </w:tcBorders>
            <w:shd w:val="clear" w:color="auto" w:fill="D9D9D9"/>
            <w:tcMar>
              <w:top w:w="0" w:type="dxa"/>
              <w:left w:w="5" w:type="dxa"/>
              <w:bottom w:w="0" w:type="dxa"/>
              <w:right w:w="5" w:type="dxa"/>
            </w:tcMar>
            <w:vAlign w:val="center"/>
          </w:tcPr>
          <w:p w:rsidR="00584782" w:rsidRDefault="003A4011">
            <w:pPr>
              <w:shd w:val="clear" w:color="auto" w:fill="D9D9D9"/>
              <w:jc w:val="center"/>
              <w:rPr>
                <w:rFonts w:ascii="ＭＳ Ｐゴシック" w:eastAsia="ＭＳ Ｐゴシック" w:hAnsi="ＭＳ Ｐゴシック"/>
                <w:sz w:val="18"/>
              </w:rPr>
            </w:pPr>
            <w:r>
              <w:rPr>
                <w:rFonts w:ascii="ＭＳ Ｐゴシック" w:eastAsia="ＭＳ Ｐゴシック" w:hAnsi="ＭＳ Ｐゴシック"/>
                <w:sz w:val="18"/>
              </w:rPr>
              <w:t>国</w:t>
            </w:r>
          </w:p>
        </w:tc>
      </w:tr>
      <w:tr w:rsidR="00584782">
        <w:trPr>
          <w:trHeight w:val="313"/>
        </w:trPr>
        <w:tc>
          <w:tcPr>
            <w:tcW w:w="180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身体測定</w:t>
            </w: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身長</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2"/>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体重</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BMI</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腹囲</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血圧</w:t>
            </w: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収縮期血圧</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2"/>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pPr>
              <w:rPr>
                <w:rFonts w:ascii="ＭＳ Ｐゴシック" w:eastAsia="ＭＳ Ｐゴシック" w:hAnsi="ＭＳ Ｐゴシック"/>
              </w:rPr>
            </w:pP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拡張期血圧</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肝機能検査</w:t>
            </w: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AST(GOT</w:t>
            </w:r>
            <w:r>
              <w:rPr>
                <w:rFonts w:ascii="ＭＳ Ｐゴシック" w:eastAsia="ＭＳ Ｐゴシック" w:hAnsi="ＭＳ Ｐゴシック"/>
                <w:sz w:val="18"/>
              </w:rPr>
              <w:t>）</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pPr>
              <w:rPr>
                <w:rFonts w:ascii="ＭＳ Ｐゴシック" w:eastAsia="ＭＳ Ｐゴシック" w:hAnsi="ＭＳ Ｐゴシック"/>
              </w:rPr>
            </w:pP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ALT(GPT</w:t>
            </w:r>
            <w:r>
              <w:rPr>
                <w:rFonts w:ascii="ＭＳ Ｐゴシック" w:eastAsia="ＭＳ Ｐゴシック" w:hAnsi="ＭＳ Ｐゴシック"/>
                <w:sz w:val="18"/>
              </w:rPr>
              <w:t>）</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pPr>
              <w:rPr>
                <w:rFonts w:ascii="ＭＳ Ｐゴシック" w:eastAsia="ＭＳ Ｐゴシック" w:hAnsi="ＭＳ Ｐゴシック"/>
              </w:rPr>
            </w:pP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γ-GT(γ-GTP</w:t>
            </w:r>
            <w:r>
              <w:rPr>
                <w:rFonts w:ascii="ＭＳ Ｐゴシック" w:eastAsia="ＭＳ Ｐゴシック" w:hAnsi="ＭＳ Ｐゴシック"/>
                <w:sz w:val="18"/>
              </w:rPr>
              <w:t>）</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2"/>
        </w:trPr>
        <w:tc>
          <w:tcPr>
            <w:tcW w:w="180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血中脂質検査</w:t>
            </w: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空腹時中性脂肪</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〇</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pPr>
              <w:rPr>
                <w:rFonts w:ascii="ＭＳ Ｐゴシック" w:eastAsia="ＭＳ Ｐゴシック" w:hAnsi="ＭＳ Ｐゴシック"/>
              </w:rPr>
            </w:pP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随時中性脂肪</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〇</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HDL</w:t>
            </w:r>
            <w:r>
              <w:rPr>
                <w:rFonts w:ascii="ＭＳ Ｐゴシック" w:eastAsia="ＭＳ Ｐゴシック" w:hAnsi="ＭＳ Ｐゴシック"/>
                <w:sz w:val="18"/>
              </w:rPr>
              <w:t>コレステロール</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LDL</w:t>
            </w:r>
            <w:r>
              <w:rPr>
                <w:rFonts w:ascii="ＭＳ Ｐゴシック" w:eastAsia="ＭＳ Ｐゴシック" w:hAnsi="ＭＳ Ｐゴシック"/>
                <w:sz w:val="18"/>
              </w:rPr>
              <w:t>コレステロール</w:t>
            </w:r>
          </w:p>
        </w:tc>
        <w:tc>
          <w:tcPr>
            <w:tcW w:w="172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2"/>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(NON-HDL</w:t>
            </w:r>
            <w:r>
              <w:rPr>
                <w:rFonts w:ascii="ＭＳ Ｐゴシック" w:eastAsia="ＭＳ Ｐゴシック" w:hAnsi="ＭＳ Ｐゴシック"/>
                <w:sz w:val="18"/>
              </w:rPr>
              <w:t>コレステロール）</w:t>
            </w:r>
          </w:p>
        </w:tc>
        <w:tc>
          <w:tcPr>
            <w:tcW w:w="1725"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pPr>
              <w:rPr>
                <w:rFonts w:ascii="ＭＳ Ｐゴシック" w:eastAsia="ＭＳ Ｐゴシック" w:hAnsi="ＭＳ Ｐゴシック"/>
                <w:sz w:val="22"/>
              </w:rPr>
            </w:pPr>
          </w:p>
        </w:tc>
        <w:tc>
          <w:tcPr>
            <w:tcW w:w="1609"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pPr>
              <w:rPr>
                <w:rFonts w:ascii="ＭＳ Ｐゴシック" w:eastAsia="ＭＳ Ｐゴシック" w:hAnsi="ＭＳ Ｐゴシック"/>
                <w:sz w:val="22"/>
              </w:rPr>
            </w:pPr>
          </w:p>
        </w:tc>
      </w:tr>
      <w:tr w:rsidR="00584782">
        <w:trPr>
          <w:trHeight w:val="313"/>
        </w:trPr>
        <w:tc>
          <w:tcPr>
            <w:tcW w:w="180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血糖検査</w:t>
            </w: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空腹時血糖</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〇</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pPr>
              <w:rPr>
                <w:rFonts w:ascii="ＭＳ Ｐゴシック" w:eastAsia="ＭＳ Ｐゴシック" w:hAnsi="ＭＳ Ｐゴシック"/>
              </w:rPr>
            </w:pP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HbA1C</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pPr>
              <w:rPr>
                <w:rFonts w:ascii="ＭＳ Ｐゴシック" w:eastAsia="ＭＳ Ｐゴシック" w:hAnsi="ＭＳ Ｐゴシック"/>
              </w:rPr>
            </w:pP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随時血糖</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〇</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2"/>
        </w:trPr>
        <w:tc>
          <w:tcPr>
            <w:tcW w:w="180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尿検査</w:t>
            </w: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尿糖</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尿蛋白</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尿潜血</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 xml:space="preserve">　</w:t>
            </w:r>
          </w:p>
        </w:tc>
      </w:tr>
      <w:tr w:rsidR="00584782">
        <w:trPr>
          <w:trHeight w:val="313"/>
        </w:trPr>
        <w:tc>
          <w:tcPr>
            <w:tcW w:w="180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血液学検査</w:t>
            </w:r>
            <w:r>
              <w:rPr>
                <w:rFonts w:ascii="ＭＳ Ｐゴシック" w:eastAsia="ＭＳ Ｐゴシック" w:hAnsi="ＭＳ Ｐゴシック"/>
                <w:sz w:val="18"/>
              </w:rPr>
              <w:br/>
            </w:r>
            <w:r>
              <w:rPr>
                <w:rFonts w:ascii="ＭＳ Ｐゴシック" w:eastAsia="ＭＳ Ｐゴシック" w:hAnsi="ＭＳ Ｐゴシック"/>
                <w:sz w:val="18"/>
              </w:rPr>
              <w:t>(</w:t>
            </w:r>
            <w:r>
              <w:rPr>
                <w:rFonts w:ascii="ＭＳ Ｐゴシック" w:eastAsia="ＭＳ Ｐゴシック" w:hAnsi="ＭＳ Ｐゴシック"/>
                <w:sz w:val="18"/>
              </w:rPr>
              <w:t>貧血検査）</w:t>
            </w:r>
          </w:p>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ヘマトクリット値</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2"/>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血色素量</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赤血球数</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その他</w:t>
            </w:r>
          </w:p>
        </w:tc>
        <w:tc>
          <w:tcPr>
            <w:tcW w:w="2522" w:type="dxa"/>
            <w:tcBorders>
              <w:top w:val="nil"/>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心電図</w:t>
            </w:r>
          </w:p>
        </w:tc>
        <w:tc>
          <w:tcPr>
            <w:tcW w:w="1725" w:type="dxa"/>
            <w:tcBorders>
              <w:top w:val="nil"/>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nil"/>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眼底検査</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2"/>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血清クレアチニン</w:t>
            </w:r>
            <w:r>
              <w:rPr>
                <w:rFonts w:ascii="ＭＳ Ｐゴシック" w:eastAsia="ＭＳ Ｐゴシック" w:hAnsi="ＭＳ Ｐゴシック"/>
                <w:sz w:val="18"/>
              </w:rPr>
              <w:t>(eGFR</w:t>
            </w:r>
            <w:r>
              <w:rPr>
                <w:rFonts w:ascii="ＭＳ Ｐゴシック" w:eastAsia="ＭＳ Ｐゴシック" w:hAnsi="ＭＳ Ｐゴシック"/>
                <w:sz w:val="18"/>
              </w:rPr>
              <w:t>）</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r>
      <w:tr w:rsidR="00584782">
        <w:trPr>
          <w:trHeight w:val="313"/>
        </w:trPr>
        <w:tc>
          <w:tcPr>
            <w:tcW w:w="1804" w:type="dxa"/>
            <w:vMerge/>
            <w:tcBorders>
              <w:top w:val="single" w:sz="4" w:space="0" w:color="000000"/>
              <w:left w:val="single" w:sz="4" w:space="0" w:color="000000"/>
              <w:bottom w:val="single" w:sz="4" w:space="0" w:color="000000"/>
              <w:right w:val="single" w:sz="4" w:space="0" w:color="000000"/>
            </w:tcBorders>
            <w:vAlign w:val="center"/>
          </w:tcPr>
          <w:p w:rsidR="00584782" w:rsidRDefault="00584782"/>
        </w:tc>
        <w:tc>
          <w:tcPr>
            <w:tcW w:w="252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尿酸</w:t>
            </w:r>
          </w:p>
        </w:tc>
        <w:tc>
          <w:tcPr>
            <w:tcW w:w="172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w:t>
            </w:r>
          </w:p>
        </w:tc>
        <w:tc>
          <w:tcPr>
            <w:tcW w:w="16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584782" w:rsidRDefault="003A4011">
            <w:pPr>
              <w:jc w:val="center"/>
              <w:rPr>
                <w:rFonts w:ascii="ＭＳ Ｐゴシック" w:eastAsia="ＭＳ Ｐゴシック" w:hAnsi="ＭＳ Ｐゴシック"/>
                <w:sz w:val="18"/>
              </w:rPr>
            </w:pPr>
            <w:r>
              <w:rPr>
                <w:rFonts w:ascii="ＭＳ Ｐゴシック" w:eastAsia="ＭＳ Ｐゴシック" w:hAnsi="ＭＳ Ｐゴシック"/>
                <w:sz w:val="18"/>
              </w:rPr>
              <w:t xml:space="preserve">　</w:t>
            </w:r>
          </w:p>
        </w:tc>
      </w:tr>
      <w:tr w:rsidR="00584782">
        <w:trPr>
          <w:trHeight w:val="35"/>
        </w:trPr>
        <w:tc>
          <w:tcPr>
            <w:tcW w:w="7660" w:type="dxa"/>
            <w:gridSpan w:val="4"/>
            <w:tcBorders>
              <w:top w:val="nil"/>
              <w:left w:val="nil"/>
              <w:bottom w:val="nil"/>
              <w:right w:val="nil"/>
            </w:tcBorders>
            <w:tcMar>
              <w:top w:w="0" w:type="dxa"/>
              <w:left w:w="0" w:type="dxa"/>
              <w:bottom w:w="0" w:type="dxa"/>
              <w:right w:w="0" w:type="dxa"/>
            </w:tcMar>
            <w:vAlign w:val="center"/>
          </w:tcPr>
          <w:p w:rsidR="00584782" w:rsidRDefault="003A4011">
            <w:pPr>
              <w:rPr>
                <w:rFonts w:ascii="ＭＳ Ｐゴシック" w:eastAsia="ＭＳ Ｐゴシック" w:hAnsi="ＭＳ Ｐゴシック"/>
                <w:sz w:val="18"/>
              </w:rPr>
            </w:pPr>
            <w:r>
              <w:rPr>
                <w:rFonts w:ascii="ＭＳ Ｐゴシック" w:eastAsia="ＭＳ Ｐゴシック" w:hAnsi="ＭＳ Ｐゴシック"/>
                <w:sz w:val="18"/>
              </w:rPr>
              <w:t>○</w:t>
            </w:r>
            <w:r>
              <w:rPr>
                <w:rFonts w:ascii="ＭＳ Ｐゴシック" w:eastAsia="ＭＳ Ｐゴシック" w:hAnsi="ＭＳ Ｐゴシック"/>
                <w:sz w:val="18"/>
              </w:rPr>
              <w:t>･･･必須項目、</w:t>
            </w:r>
            <w:r>
              <w:rPr>
                <w:rFonts w:ascii="ＭＳ Ｐゴシック" w:eastAsia="ＭＳ Ｐゴシック" w:hAnsi="ＭＳ Ｐゴシック"/>
                <w:sz w:val="18"/>
              </w:rPr>
              <w:t>□</w:t>
            </w:r>
            <w:r>
              <w:rPr>
                <w:rFonts w:ascii="ＭＳ Ｐゴシック" w:eastAsia="ＭＳ Ｐゴシック" w:hAnsi="ＭＳ Ｐゴシック"/>
                <w:sz w:val="18"/>
              </w:rPr>
              <w:t>･･･医師の判断に基づき選択的に実施する項目、</w:t>
            </w:r>
            <w:r>
              <w:rPr>
                <w:rFonts w:ascii="ＭＳ Ｐゴシック" w:eastAsia="ＭＳ Ｐゴシック" w:hAnsi="ＭＳ Ｐゴシック"/>
                <w:sz w:val="18"/>
              </w:rPr>
              <w:t>●</w:t>
            </w:r>
            <w:r>
              <w:rPr>
                <w:rFonts w:ascii="ＭＳ Ｐゴシック" w:eastAsia="ＭＳ Ｐゴシック" w:hAnsi="ＭＳ Ｐゴシック"/>
                <w:sz w:val="18"/>
              </w:rPr>
              <w:t>･･･いずれの項目の実施で可</w:t>
            </w:r>
          </w:p>
        </w:tc>
      </w:tr>
    </w:tbl>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（５）実施時期</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月から翌年</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月末まで実施します。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（６）医療機関との適切な連携</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治療中であっても特定健診の受診対象者であることから、かかりつけ医から本人へ健診の受診勧奨を行えるよう、医療機関へ十分な説明を実施していきます。</w:t>
      </w:r>
    </w:p>
    <w:p w:rsidR="00584782" w:rsidRDefault="003A4011">
      <w:pPr>
        <w:rPr>
          <w:rFonts w:asciiTheme="majorEastAsia" w:eastAsiaTheme="majorEastAsia" w:hAnsiTheme="majorEastAsia"/>
          <w:sz w:val="22"/>
        </w:rPr>
      </w:pPr>
      <w:r>
        <w:rPr>
          <w:rFonts w:ascii="ＭＳ Ｐゴシック" w:eastAsia="ＭＳ Ｐゴシック" w:hAnsi="ＭＳ Ｐゴシック" w:hint="eastAsia"/>
          <w:sz w:val="22"/>
        </w:rPr>
        <w:t xml:space="preserve">　また、本人同意のもとで、保険者が診療における検査データの提供を受け、特定健診結果のデータとして円滑に活用できるよう、かかりつけ医の協力及び連携を行います。</w:t>
      </w:r>
    </w:p>
    <w:p w:rsidR="00584782" w:rsidRDefault="00584782">
      <w:pPr>
        <w:rPr>
          <w:rFonts w:asciiTheme="majorEastAsia" w:eastAsiaTheme="majorEastAsia" w:hAnsiTheme="majorEastAsia"/>
          <w:sz w:val="22"/>
        </w:rPr>
      </w:pPr>
    </w:p>
    <w:p w:rsidR="00584782" w:rsidRDefault="003A4011">
      <w:pPr>
        <w:rPr>
          <w:rFonts w:asciiTheme="majorEastAsia" w:eastAsiaTheme="majorEastAsia" w:hAnsiTheme="majorEastAsia"/>
          <w:sz w:val="22"/>
        </w:rPr>
      </w:pPr>
      <w:r>
        <w:rPr>
          <w:rFonts w:ascii="ＭＳ Ｐゴシック" w:eastAsia="ＭＳ Ｐゴシック" w:hAnsi="ＭＳ Ｐゴシック" w:hint="eastAsia"/>
          <w:sz w:val="22"/>
        </w:rPr>
        <w:t>（７）代行機関</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特定健診に掛かる費用の請求・支払い代行は、</w:t>
      </w:r>
      <w:r>
        <w:rPr>
          <w:rFonts w:ascii="ＭＳ Ｐゴシック" w:eastAsia="ＭＳ Ｐゴシック" w:hAnsi="ＭＳ Ｐゴシック" w:hint="eastAsia"/>
          <w:sz w:val="22"/>
        </w:rPr>
        <w:t>沖縄県</w:t>
      </w:r>
      <w:r>
        <w:rPr>
          <w:rFonts w:ascii="ＭＳ Ｐゴシック" w:eastAsia="ＭＳ Ｐゴシック" w:hAnsi="ＭＳ Ｐゴシック" w:hint="eastAsia"/>
          <w:sz w:val="22"/>
        </w:rPr>
        <w:t>国民健康保険団体連合会に事務処理を委託します。</w:t>
      </w:r>
    </w:p>
    <w:p w:rsidR="00584782" w:rsidRDefault="00584782">
      <w:pPr>
        <w:rPr>
          <w:rFonts w:asciiTheme="majorEastAsia" w:eastAsiaTheme="majorEastAsia" w:hAnsiTheme="majorEastAsia"/>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（８）健診の案内方法・健診実施スケジュール</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実施率を高めるためには、対象者に認知してもらうことが不可欠であることから、受診の案内の送付に関わらず、医療保険者として加入者に対する基本的な周知広報活動を年間通して行います。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hint="eastAsia"/>
          <w:noProof/>
        </w:rPr>
        <w:drawing>
          <wp:anchor distT="0" distB="0" distL="114300" distR="114300" simplePos="0" relativeHeight="2" behindDoc="0" locked="0" layoutInCell="1" hidden="0" allowOverlap="1">
            <wp:simplePos x="0" y="0"/>
            <wp:positionH relativeFrom="margin">
              <wp:posOffset>219075</wp:posOffset>
            </wp:positionH>
            <wp:positionV relativeFrom="paragraph">
              <wp:posOffset>270510</wp:posOffset>
            </wp:positionV>
            <wp:extent cx="5848350" cy="3493135"/>
            <wp:effectExtent l="0" t="0" r="0" b="0"/>
            <wp:wrapTopAndBottom/>
            <wp:docPr id="1081" name="オブジェクト 0"/>
            <wp:cNvGraphicFramePr/>
            <a:graphic xmlns:a="http://schemas.openxmlformats.org/drawingml/2006/main">
              <a:graphicData uri="http://schemas.openxmlformats.org/drawingml/2006/picture">
                <pic:pic xmlns:pic="http://schemas.openxmlformats.org/drawingml/2006/picture">
                  <pic:nvPicPr>
                    <pic:cNvPr id="1081" name="オブジェクト 0"/>
                    <pic:cNvPicPr/>
                  </pic:nvPicPr>
                  <pic:blipFill>
                    <a:blip r:embed="rId58"/>
                    <a:stretch>
                      <a:fillRect/>
                    </a:stretch>
                  </pic:blipFill>
                  <pic:spPr>
                    <a:xfrm>
                      <a:off x="0" y="0"/>
                      <a:ext cx="5848350" cy="3493135"/>
                    </a:xfrm>
                    <a:prstGeom prst="rect">
                      <a:avLst/>
                    </a:prstGeom>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47</w:t>
      </w:r>
      <w:r>
        <w:rPr>
          <w:rFonts w:ascii="ＭＳ Ｐゴシック" w:eastAsia="ＭＳ Ｐゴシック" w:hAnsi="ＭＳ Ｐゴシック" w:hint="eastAsia"/>
          <w:sz w:val="22"/>
        </w:rPr>
        <w:t xml:space="preserve">　特定健診実施スケジュール（例示）</w:t>
      </w:r>
    </w:p>
    <w:p w:rsidR="00584782" w:rsidRDefault="00584782">
      <w:pPr>
        <w:rPr>
          <w:rFonts w:asciiTheme="majorEastAsia" w:eastAsiaTheme="majorEastAsia" w:hAnsiTheme="majorEastAsia"/>
          <w:b/>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8"/>
        </w:rPr>
        <w:lastRenderedPageBreak/>
        <w:t>５．特定保健指導の実施</w:t>
      </w: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noProof/>
        </w:rPr>
        <w:drawing>
          <wp:anchor distT="0" distB="0" distL="114300" distR="114300" simplePos="0" relativeHeight="7" behindDoc="0" locked="0" layoutInCell="1" hidden="0" allowOverlap="1">
            <wp:simplePos x="0" y="0"/>
            <wp:positionH relativeFrom="margin">
              <wp:align>left</wp:align>
            </wp:positionH>
            <wp:positionV relativeFrom="paragraph">
              <wp:posOffset>340360</wp:posOffset>
            </wp:positionV>
            <wp:extent cx="5807710" cy="2847975"/>
            <wp:effectExtent l="0" t="0" r="0" b="0"/>
            <wp:wrapTopAndBottom/>
            <wp:docPr id="1082" name="図 4"/>
            <wp:cNvGraphicFramePr/>
            <a:graphic xmlns:a="http://schemas.openxmlformats.org/drawingml/2006/main">
              <a:graphicData uri="http://schemas.openxmlformats.org/drawingml/2006/picture">
                <pic:pic xmlns:pic="http://schemas.openxmlformats.org/drawingml/2006/picture">
                  <pic:nvPicPr>
                    <pic:cNvPr id="1082" name="図 4"/>
                    <pic:cNvPicPr>
                      <a:picLocks noChangeAspect="1" noChangeArrowheads="1"/>
                    </pic:cNvPicPr>
                  </pic:nvPicPr>
                  <pic:blipFill>
                    <a:blip r:embed="rId59"/>
                    <a:stretch>
                      <a:fillRect/>
                    </a:stretch>
                  </pic:blipFill>
                  <pic:spPr>
                    <a:xfrm>
                      <a:off x="0" y="0"/>
                      <a:ext cx="5807710" cy="2847975"/>
                    </a:xfrm>
                    <a:prstGeom prst="rect">
                      <a:avLst/>
                    </a:prstGeom>
                    <a:noFill/>
                  </pic:spPr>
                </pic:pic>
              </a:graphicData>
            </a:graphic>
          </wp:anchor>
        </w:drawing>
      </w:r>
      <w:r>
        <w:rPr>
          <w:rFonts w:ascii="ＭＳ Ｐゴシック" w:eastAsia="ＭＳ Ｐゴシック" w:hAnsi="ＭＳ Ｐゴシック" w:hint="eastAsia"/>
          <w:sz w:val="22"/>
        </w:rPr>
        <w:t>特定保健指導の実施については、保険者直接実施、一般衛生部門への執行委任の形態で行います。</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（１）健診から保健指導実施の流れ</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「標準的な健診・保健指導プログラム（令和</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年度版）」様式</w:t>
      </w:r>
      <w:r>
        <w:rPr>
          <w:rFonts w:ascii="ＭＳ Ｐゴシック" w:eastAsia="ＭＳ Ｐゴシック" w:hAnsi="ＭＳ Ｐゴシック" w:hint="eastAsia"/>
          <w:sz w:val="22"/>
        </w:rPr>
        <w:t>5-5</w:t>
      </w:r>
      <w:r>
        <w:rPr>
          <w:rFonts w:ascii="ＭＳ Ｐゴシック" w:eastAsia="ＭＳ Ｐゴシック" w:hAnsi="ＭＳ Ｐゴシック" w:hint="eastAsia"/>
          <w:sz w:val="22"/>
        </w:rPr>
        <w:t>をもとに、健診結果から保健指導対象者の明確化、保健指導計画の策定・実践評価を行います。（図表</w:t>
      </w:r>
      <w:r>
        <w:rPr>
          <w:rFonts w:ascii="ＭＳ Ｐゴシック" w:eastAsia="ＭＳ Ｐゴシック" w:hAnsi="ＭＳ Ｐゴシック" w:hint="eastAsia"/>
          <w:sz w:val="22"/>
        </w:rPr>
        <w:t>48</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49</w:t>
      </w:r>
      <w:r>
        <w:rPr>
          <w:rFonts w:ascii="ＭＳ Ｐゴシック" w:eastAsia="ＭＳ Ｐゴシック" w:hAnsi="ＭＳ Ｐゴシック" w:hint="eastAsia"/>
          <w:sz w:val="22"/>
        </w:rPr>
        <w:t>）</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48</w:t>
      </w:r>
      <w:r>
        <w:rPr>
          <w:rFonts w:ascii="ＭＳ Ｐゴシック" w:eastAsia="ＭＳ Ｐゴシック" w:hAnsi="ＭＳ Ｐゴシック" w:hint="eastAsia"/>
          <w:sz w:val="22"/>
        </w:rPr>
        <w:t xml:space="preserve">　健診から保健指導へのフローチャート（様式</w:t>
      </w:r>
      <w:r>
        <w:rPr>
          <w:rFonts w:ascii="ＭＳ Ｐゴシック" w:eastAsia="ＭＳ Ｐゴシック" w:hAnsi="ＭＳ Ｐゴシック" w:hint="eastAsia"/>
          <w:sz w:val="22"/>
        </w:rPr>
        <w:t>5-5</w:t>
      </w:r>
      <w:r>
        <w:rPr>
          <w:rFonts w:ascii="ＭＳ Ｐゴシック" w:eastAsia="ＭＳ Ｐゴシック" w:hAnsi="ＭＳ Ｐゴシック" w:hint="eastAsia"/>
          <w:sz w:val="22"/>
        </w:rPr>
        <w:t>）</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847715" cy="7771130"/>
            <wp:effectExtent l="0" t="0" r="0" b="0"/>
            <wp:docPr id="1083" name="オブジェクト 0"/>
            <wp:cNvGraphicFramePr/>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60"/>
                    <a:stretch>
                      <a:fillRect/>
                    </a:stretch>
                  </pic:blipFill>
                  <pic:spPr>
                    <a:xfrm>
                      <a:off x="0" y="0"/>
                      <a:ext cx="5847715" cy="7771130"/>
                    </a:xfrm>
                    <a:prstGeom prst="rect">
                      <a:avLst/>
                    </a:prstGeom>
                  </pic:spPr>
                </pic:pic>
              </a:graphicData>
            </a:graphic>
          </wp:inline>
        </w:drawing>
      </w:r>
    </w:p>
    <w:p w:rsidR="00584782" w:rsidRDefault="003A4011">
      <w:pPr>
        <w:jc w:val="right"/>
        <w:rPr>
          <w:rFonts w:asciiTheme="majorEastAsia" w:eastAsiaTheme="majorEastAsia" w:hAnsiTheme="majorEastAsia"/>
          <w:sz w:val="18"/>
        </w:rPr>
      </w:pPr>
      <w:r>
        <w:rPr>
          <w:rFonts w:asciiTheme="majorEastAsia" w:eastAsiaTheme="majorEastAsia" w:hAnsiTheme="majorEastAsia" w:hint="eastAsia"/>
          <w:sz w:val="16"/>
        </w:rPr>
        <w:t>出典・参照：特定健診等ﾃﾞｰﾀ管理ｼｽﾃﾑ</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（２）要保健指導対象者の見込み、選択と優先順位・支援方法</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49</w:t>
      </w:r>
      <w:r>
        <w:rPr>
          <w:rFonts w:ascii="ＭＳ Ｐゴシック" w:eastAsia="ＭＳ Ｐゴシック" w:hAnsi="ＭＳ Ｐゴシック" w:hint="eastAsia"/>
          <w:sz w:val="22"/>
        </w:rPr>
        <w:t xml:space="preserve">　要保健指導対象者の見込み</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849620" cy="5236210"/>
            <wp:effectExtent l="0" t="0" r="0" b="0"/>
            <wp:docPr id="1084" name="オブジェクト 0"/>
            <wp:cNvGraphicFramePr/>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61"/>
                    <a:stretch>
                      <a:fillRect/>
                    </a:stretch>
                  </pic:blipFill>
                  <pic:spPr>
                    <a:xfrm>
                      <a:off x="0" y="0"/>
                      <a:ext cx="5849620" cy="5236210"/>
                    </a:xfrm>
                    <a:prstGeom prst="rect">
                      <a:avLst/>
                    </a:prstGeom>
                  </pic:spPr>
                </pic:pic>
              </a:graphicData>
            </a:graphic>
          </wp:inline>
        </w:drawing>
      </w: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（３）生活習慣病予防のための健診・保健指導の実践スケジュール</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目標に向かっての進捗状況管理とＰＤＣＡサイクルで実践していくため、年間実施スケジュールを作成していきます。</w:t>
      </w: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50</w:t>
      </w:r>
      <w:r>
        <w:rPr>
          <w:rFonts w:ascii="ＭＳ Ｐゴシック" w:eastAsia="ＭＳ Ｐゴシック" w:hAnsi="ＭＳ Ｐゴシック" w:hint="eastAsia"/>
          <w:sz w:val="22"/>
        </w:rPr>
        <w:t xml:space="preserve">　健診・保健指導年間スケジュール</w:t>
      </w:r>
    </w:p>
    <w:p w:rsidR="00584782" w:rsidRDefault="003A4011">
      <w:pPr>
        <w:rPr>
          <w:rFonts w:asciiTheme="majorEastAsia" w:eastAsiaTheme="majorEastAsia" w:hAnsiTheme="majorEastAsia"/>
          <w:sz w:val="22"/>
        </w:rPr>
      </w:pPr>
      <w:r>
        <w:rPr>
          <w:rFonts w:hint="eastAsia"/>
          <w:noProof/>
        </w:rPr>
        <w:drawing>
          <wp:inline distT="0" distB="0" distL="203200" distR="203200">
            <wp:extent cx="5953125" cy="5474970"/>
            <wp:effectExtent l="0" t="0" r="0" b="0"/>
            <wp:docPr id="1085" name="オブジェクト 0"/>
            <wp:cNvGraphicFramePr/>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62"/>
                    <a:stretch>
                      <a:fillRect/>
                    </a:stretch>
                  </pic:blipFill>
                  <pic:spPr>
                    <a:xfrm>
                      <a:off x="0" y="0"/>
                      <a:ext cx="5953125" cy="5474970"/>
                    </a:xfrm>
                    <a:prstGeom prst="rect">
                      <a:avLst/>
                    </a:prstGeom>
                  </pic:spPr>
                </pic:pic>
              </a:graphicData>
            </a:graphic>
          </wp:inline>
        </w:drawing>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６．個人情報の保護</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（１）基本的な考え方</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特定健康診査・特定保健指導で得られる健康情報の取扱いについては、個人情報の保護に関する法律および</w:t>
      </w:r>
      <w:r>
        <w:rPr>
          <w:rFonts w:ascii="ＭＳ Ｐゴシック" w:eastAsia="ＭＳ Ｐゴシック" w:hAnsi="ＭＳ Ｐゴシック" w:hint="eastAsia"/>
          <w:sz w:val="22"/>
        </w:rPr>
        <w:t>本部町個人情報保護条例</w:t>
      </w:r>
      <w:r>
        <w:rPr>
          <w:rFonts w:ascii="ＭＳ Ｐゴシック" w:eastAsia="ＭＳ Ｐゴシック" w:hAnsi="ＭＳ Ｐゴシック" w:hint="eastAsia"/>
          <w:sz w:val="22"/>
        </w:rPr>
        <w:t>を踏まえた対応を行います。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また、特定健康診査を外部委託する際は、個人情報の厳重な管理や、目的外使用の禁止等を契約書に定めるとともに、委託先の契約状況を管理します。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（２）特定健診・保健指導の記録の管理・保存期間について</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特定健康診査・特定保健指導の記録の管理は、特定健康診査等データ管理ｼｽﾃﾑで行います。</w:t>
      </w:r>
    </w:p>
    <w:p w:rsidR="00584782" w:rsidRDefault="003A4011">
      <w:pPr>
        <w:rPr>
          <w:rFonts w:ascii="ＭＳ Ｐゴシック" w:eastAsia="ＭＳ Ｐゴシック" w:hAnsi="ＭＳ Ｐゴシック"/>
          <w:sz w:val="22"/>
        </w:rPr>
      </w:pPr>
      <w:r>
        <w:rPr>
          <w:rFonts w:asciiTheme="majorEastAsia" w:eastAsiaTheme="majorEastAsia" w:hAnsiTheme="majorEastAsia" w:hint="eastAsia"/>
          <w:sz w:val="28"/>
        </w:rPr>
        <w:lastRenderedPageBreak/>
        <w:t>７</w:t>
      </w:r>
      <w:r>
        <w:rPr>
          <w:rFonts w:ascii="ＭＳ Ｐゴシック" w:eastAsia="ＭＳ Ｐゴシック" w:hAnsi="ＭＳ Ｐゴシック" w:hint="eastAsia"/>
          <w:sz w:val="28"/>
        </w:rPr>
        <w:t>．結果の報告</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実績報告については、特定健診データ管理ｼｽﾃﾑから実績報告用データを作成し、健診実施年度の翌年度</w:t>
      </w:r>
      <w:r>
        <w:rPr>
          <w:rFonts w:ascii="ＭＳ Ｐゴシック" w:eastAsia="ＭＳ Ｐゴシック" w:hAnsi="ＭＳ Ｐゴシック" w:hint="eastAsia"/>
          <w:sz w:val="22"/>
        </w:rPr>
        <w:t>11</w:t>
      </w:r>
      <w:r>
        <w:rPr>
          <w:rFonts w:ascii="ＭＳ Ｐゴシック" w:eastAsia="ＭＳ Ｐゴシック" w:hAnsi="ＭＳ Ｐゴシック" w:hint="eastAsia"/>
          <w:sz w:val="22"/>
        </w:rPr>
        <w:t>月</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日までに報告します。</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８．特定健康診査等実施計画の公表・周知</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高齢者の医療の確保に関する法律第</w:t>
      </w:r>
      <w:r>
        <w:rPr>
          <w:rFonts w:ascii="ＭＳ Ｐゴシック" w:eastAsia="ＭＳ Ｐゴシック" w:hAnsi="ＭＳ Ｐゴシック" w:hint="eastAsia"/>
          <w:sz w:val="22"/>
        </w:rPr>
        <w:t>19</w:t>
      </w:r>
      <w:r>
        <w:rPr>
          <w:rFonts w:ascii="ＭＳ Ｐゴシック" w:eastAsia="ＭＳ Ｐゴシック" w:hAnsi="ＭＳ Ｐゴシック" w:hint="eastAsia"/>
          <w:sz w:val="22"/>
        </w:rPr>
        <w:t>条第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項（保険者は、特定健康診査等実施計画を定め、又はこれを変更したときは、遅延なく、これを公表しなければならない）に基づく計画は、本部町</w:t>
      </w:r>
      <w:r>
        <w:rPr>
          <w:rFonts w:ascii="ＭＳ Ｐゴシック" w:eastAsia="ＭＳ Ｐゴシック" w:hAnsi="ＭＳ Ｐゴシック" w:hint="eastAsia"/>
          <w:sz w:val="22"/>
        </w:rPr>
        <w:t>ホームページ</w:t>
      </w:r>
      <w:r>
        <w:rPr>
          <w:rFonts w:ascii="ＭＳ Ｐゴシック" w:eastAsia="ＭＳ Ｐゴシック" w:hAnsi="ＭＳ Ｐゴシック" w:hint="eastAsia"/>
          <w:sz w:val="22"/>
        </w:rPr>
        <w:t>等への掲載により公表、周知します。</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spacing w:line="440" w:lineRule="exact"/>
        <w:jc w:val="left"/>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第４章　課題解決するための個別保健事業</w:t>
      </w:r>
    </w:p>
    <w:p w:rsidR="00584782" w:rsidRDefault="00584782">
      <w:pPr>
        <w:spacing w:line="440" w:lineRule="exact"/>
        <w:jc w:val="left"/>
        <w:rPr>
          <w:rFonts w:ascii="ＭＳ Ｐゴシック" w:eastAsia="ＭＳ Ｐゴシック" w:hAnsi="ＭＳ Ｐゴシック"/>
          <w:sz w:val="32"/>
        </w:rPr>
      </w:pPr>
    </w:p>
    <w:p w:rsidR="00584782" w:rsidRDefault="003A4011">
      <w:pPr>
        <w:spacing w:line="440" w:lineRule="exact"/>
        <w:jc w:val="left"/>
        <w:rPr>
          <w:rFonts w:ascii="ＭＳ Ｐゴシック" w:eastAsia="ＭＳ Ｐゴシック" w:hAnsi="ＭＳ Ｐゴシック"/>
          <w:sz w:val="28"/>
        </w:rPr>
      </w:pPr>
      <w:r>
        <w:rPr>
          <w:rFonts w:ascii="ＭＳ Ｐゴシック" w:eastAsia="ＭＳ Ｐゴシック" w:hAnsi="ＭＳ Ｐゴシック" w:hint="eastAsia"/>
          <w:sz w:val="28"/>
        </w:rPr>
        <w:t>Ⅰ．保健事業の方向性</w:t>
      </w:r>
    </w:p>
    <w:p w:rsidR="00584782" w:rsidRDefault="003A4011">
      <w:pPr>
        <w:spacing w:line="44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保健事業の実施にあたっては糖尿病性腎症、虚血性心疾患、脳血管疾患における共通のリスクとなる糖尿病、高血圧、脂質異常症、メタボリックシンドローム等の減少を目指すために、特定健診における血糖、血圧、脂質の検査結果を改善していきます。そのためには、重症化予防の取組とポピュレーションアプローチを組み合わせて実施いく必要があります。</w:t>
      </w:r>
    </w:p>
    <w:p w:rsidR="00584782" w:rsidRDefault="003A4011">
      <w:pPr>
        <w:spacing w:line="44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重症化予防としては、生活習慣病重症化による合併症の発症・進展抑制を目指し、糖尿病性腎症重症化予防・虚血性心疾患重症化予防・脳血管疾患重症化予防等の取組を行います。</w:t>
      </w:r>
    </w:p>
    <w:p w:rsidR="00584782" w:rsidRDefault="003A4011">
      <w:pPr>
        <w:spacing w:line="440" w:lineRule="exact"/>
        <w:ind w:firstLineChars="100" w:firstLine="220"/>
        <w:jc w:val="left"/>
        <w:rPr>
          <w:rFonts w:ascii="ＭＳ Ｐゴシック" w:eastAsia="ＭＳ Ｐゴシック" w:hAnsi="ＭＳ Ｐゴシック"/>
          <w:color w:val="5B9BD5" w:themeColor="accent1"/>
          <w:sz w:val="22"/>
        </w:rPr>
      </w:pPr>
      <w:r>
        <w:rPr>
          <w:rFonts w:ascii="ＭＳ Ｐゴシック" w:eastAsia="ＭＳ Ｐゴシック" w:hAnsi="ＭＳ Ｐゴシック" w:hint="eastAsia"/>
          <w:sz w:val="22"/>
        </w:rPr>
        <w:t>具体的には、</w:t>
      </w:r>
      <w:r>
        <w:rPr>
          <w:rFonts w:ascii="ＭＳ Ｐゴシック" w:eastAsia="ＭＳ Ｐゴシック" w:hAnsi="ＭＳ Ｐゴシック" w:hint="eastAsia"/>
          <w:sz w:val="22"/>
        </w:rPr>
        <w:t>「健康課題を解決するための実践計画」を作成し、保健指導を進めていきます。</w:t>
      </w:r>
      <w:r>
        <w:rPr>
          <w:rFonts w:ascii="ＭＳ Ｐゴシック" w:eastAsia="ＭＳ Ｐゴシック" w:hAnsi="ＭＳ Ｐゴシック" w:hint="eastAsia"/>
          <w:sz w:val="22"/>
        </w:rPr>
        <w:t>医療受診が必要な方には適切な受診への働きかけを行う受診勧奨を、治療中の方には、医療機関と連携し重症化予防のための保健指導を実施していきます。</w:t>
      </w:r>
    </w:p>
    <w:p w:rsidR="00584782" w:rsidRDefault="003A4011">
      <w:pPr>
        <w:spacing w:line="440" w:lineRule="exact"/>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ポピュレーションアプローチの取組としては、生活習慣病の重症化により医療費や介護費用等の実態を広く市民へ周知していきます。</w:t>
      </w:r>
    </w:p>
    <w:p w:rsidR="00584782" w:rsidRDefault="003A4011">
      <w:pPr>
        <w:spacing w:line="440" w:lineRule="exact"/>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また、生活習慣病は自覚症状がないため、まずは健診の機会を提供し、状態に応じた保健指導が重要となります。そのため特に特定健診受診率、特定保健指導実施率の向上にも努める必要があります。その実施にあたっては、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章の特定健康診査等実施計画に準ずるものとします。</w:t>
      </w:r>
    </w:p>
    <w:p w:rsidR="00584782" w:rsidRDefault="00584782">
      <w:pPr>
        <w:spacing w:line="440" w:lineRule="exact"/>
        <w:jc w:val="left"/>
        <w:rPr>
          <w:rFonts w:ascii="ＭＳ Ｐゴシック" w:eastAsia="ＭＳ Ｐゴシック" w:hAnsi="ＭＳ Ｐゴシック"/>
          <w:sz w:val="22"/>
        </w:rPr>
      </w:pPr>
    </w:p>
    <w:p w:rsidR="00584782" w:rsidRDefault="003A4011">
      <w:pPr>
        <w:spacing w:line="440" w:lineRule="exact"/>
        <w:jc w:val="left"/>
        <w:rPr>
          <w:rFonts w:ascii="ＭＳ Ｐゴシック" w:eastAsia="ＭＳ Ｐゴシック" w:hAnsi="ＭＳ Ｐゴシック"/>
          <w:sz w:val="28"/>
        </w:rPr>
      </w:pPr>
      <w:r>
        <w:rPr>
          <w:rFonts w:ascii="ＭＳ Ｐゴシック" w:eastAsia="ＭＳ Ｐゴシック" w:hAnsi="ＭＳ Ｐゴシック" w:hint="eastAsia"/>
          <w:sz w:val="28"/>
        </w:rPr>
        <w:t>Ⅱ．重症化予防の取組</w:t>
      </w:r>
    </w:p>
    <w:p w:rsidR="00584782" w:rsidRDefault="003A4011">
      <w:pPr>
        <w:spacing w:line="44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本部町の特定健診受診者のうち、脳血管疾患、虚血性心疾患、糖尿病性腎症の重症化予防対象者は、各学会のガイドラインに基づき対象者を抽出すると、</w:t>
      </w:r>
      <w:r>
        <w:rPr>
          <w:rFonts w:ascii="ＭＳ Ｐゴシック" w:eastAsia="ＭＳ Ｐゴシック" w:hAnsi="ＭＳ Ｐゴシック" w:hint="eastAsia"/>
          <w:sz w:val="22"/>
        </w:rPr>
        <w:t>565</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51.9%</w:t>
      </w:r>
      <w:r>
        <w:rPr>
          <w:rFonts w:ascii="ＭＳ Ｐゴシック" w:eastAsia="ＭＳ Ｐゴシック" w:hAnsi="ＭＳ Ｐゴシック" w:hint="eastAsia"/>
          <w:sz w:val="22"/>
        </w:rPr>
        <w:t>）です。そのうち治療なしが</w:t>
      </w:r>
    </w:p>
    <w:p w:rsidR="00584782" w:rsidRDefault="003A4011">
      <w:pPr>
        <w:spacing w:line="440" w:lineRule="exact"/>
        <w:jc w:val="left"/>
        <w:rPr>
          <w:rFonts w:ascii="ＭＳ Ｐゴシック" w:eastAsia="ＭＳ Ｐゴシック" w:hAnsi="ＭＳ Ｐゴシック"/>
          <w:sz w:val="22"/>
        </w:rPr>
      </w:pPr>
      <w:r>
        <w:rPr>
          <w:rFonts w:ascii="ＭＳ Ｐゴシック" w:eastAsia="ＭＳ Ｐゴシック" w:hAnsi="ＭＳ Ｐゴシック" w:hint="eastAsia"/>
          <w:sz w:val="22"/>
        </w:rPr>
        <w:t>155</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34.6%</w:t>
      </w:r>
      <w:r>
        <w:rPr>
          <w:rFonts w:ascii="ＭＳ Ｐゴシック" w:eastAsia="ＭＳ Ｐゴシック" w:hAnsi="ＭＳ Ｐゴシック"/>
          <w:sz w:val="22"/>
        </w:rPr>
        <w:t>）</w:t>
      </w:r>
      <w:r>
        <w:rPr>
          <w:rFonts w:ascii="ＭＳ Ｐゴシック" w:eastAsia="ＭＳ Ｐゴシック" w:hAnsi="ＭＳ Ｐゴシック" w:hint="eastAsia"/>
          <w:sz w:val="22"/>
        </w:rPr>
        <w:t>を占め、さらに臓器障害あり直ちに取り組むべき対象者が</w:t>
      </w:r>
      <w:r>
        <w:rPr>
          <w:rFonts w:ascii="ＭＳ Ｐゴシック" w:eastAsia="ＭＳ Ｐゴシック" w:hAnsi="ＭＳ Ｐゴシック" w:hint="eastAsia"/>
          <w:sz w:val="22"/>
        </w:rPr>
        <w:t>41</w:t>
      </w:r>
      <w:r>
        <w:rPr>
          <w:rFonts w:ascii="ＭＳ Ｐゴシック" w:eastAsia="ＭＳ Ｐゴシック" w:hAnsi="ＭＳ Ｐゴシック" w:hint="eastAsia"/>
          <w:sz w:val="22"/>
        </w:rPr>
        <w:t>人です。</w:t>
      </w:r>
    </w:p>
    <w:p w:rsidR="00584782" w:rsidRDefault="003A4011">
      <w:pPr>
        <w:ind w:firstLineChars="100" w:firstLine="220"/>
        <w:rPr>
          <w:rFonts w:asciiTheme="majorEastAsia" w:eastAsiaTheme="majorEastAsia" w:hAnsiTheme="majorEastAsia"/>
          <w:color w:val="0070C0"/>
          <w:sz w:val="22"/>
        </w:rPr>
      </w:pPr>
      <w:r>
        <w:rPr>
          <w:rFonts w:asciiTheme="majorEastAsia" w:eastAsiaTheme="majorEastAsia" w:hAnsiTheme="majorEastAsia" w:hint="eastAsia"/>
          <w:sz w:val="22"/>
        </w:rPr>
        <w:t>また、本部町においては、重症化予防対象者と特定保健指導対象者が重なるものが、</w:t>
      </w:r>
      <w:r>
        <w:rPr>
          <w:rFonts w:asciiTheme="majorEastAsia" w:eastAsiaTheme="majorEastAsia" w:hAnsiTheme="majorEastAsia" w:hint="eastAsia"/>
          <w:sz w:val="22"/>
        </w:rPr>
        <w:t>155</w:t>
      </w:r>
      <w:r>
        <w:rPr>
          <w:rFonts w:asciiTheme="majorEastAsia" w:eastAsiaTheme="majorEastAsia" w:hAnsiTheme="majorEastAsia" w:hint="eastAsia"/>
          <w:sz w:val="22"/>
        </w:rPr>
        <w:t>人中</w:t>
      </w:r>
      <w:r>
        <w:rPr>
          <w:rFonts w:asciiTheme="majorEastAsia" w:eastAsiaTheme="majorEastAsia" w:hAnsiTheme="majorEastAsia" w:hint="eastAsia"/>
          <w:sz w:val="22"/>
        </w:rPr>
        <w:t>95</w:t>
      </w:r>
      <w:r>
        <w:rPr>
          <w:rFonts w:asciiTheme="majorEastAsia" w:eastAsiaTheme="majorEastAsia" w:hAnsiTheme="majorEastAsia" w:hint="eastAsia"/>
          <w:sz w:val="22"/>
        </w:rPr>
        <w:t>人となっています。特定保健指導の徹底もあわせて行うことが重症化予防にもつながり、効率的であることが分かります。</w:t>
      </w:r>
      <w:r>
        <w:rPr>
          <w:rFonts w:asciiTheme="majorEastAsia" w:eastAsiaTheme="majorEastAsia" w:hAnsiTheme="majorEastAsia" w:hint="eastAsia"/>
          <w:sz w:val="22"/>
        </w:rPr>
        <w:t>（図表</w:t>
      </w:r>
      <w:r>
        <w:rPr>
          <w:rFonts w:asciiTheme="majorEastAsia" w:eastAsiaTheme="majorEastAsia" w:hAnsiTheme="majorEastAsia" w:hint="eastAsia"/>
          <w:sz w:val="22"/>
        </w:rPr>
        <w:t>51</w:t>
      </w:r>
      <w:r>
        <w:rPr>
          <w:rFonts w:asciiTheme="majorEastAsia" w:eastAsiaTheme="majorEastAsia" w:hAnsiTheme="majorEastAsia" w:hint="eastAsia"/>
          <w:sz w:val="22"/>
        </w:rPr>
        <w:t>）</w:t>
      </w: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Theme="majorEastAsia" w:eastAsiaTheme="majorEastAsia" w:hAnsiTheme="majorEastAsia"/>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hint="eastAsia"/>
          <w:sz w:val="22"/>
        </w:rPr>
        <w:t>51</w:t>
      </w:r>
      <w:r>
        <w:rPr>
          <w:rFonts w:ascii="ＭＳ Ｐゴシック" w:eastAsia="ＭＳ Ｐゴシック" w:hAnsi="ＭＳ Ｐゴシック" w:hint="eastAsia"/>
          <w:sz w:val="22"/>
        </w:rPr>
        <w:t xml:space="preserve">　脳・心・腎を守るために</w:t>
      </w:r>
    </w:p>
    <w:p w:rsidR="00584782" w:rsidRDefault="003A4011">
      <w:pPr>
        <w:rPr>
          <w:rFonts w:asciiTheme="majorEastAsia" w:eastAsiaTheme="majorEastAsia" w:hAnsiTheme="majorEastAsia"/>
          <w:sz w:val="22"/>
        </w:rPr>
      </w:pPr>
      <w:r>
        <w:rPr>
          <w:rFonts w:hint="eastAsia"/>
          <w:noProof/>
        </w:rPr>
        <w:drawing>
          <wp:inline distT="0" distB="0" distL="203200" distR="203200">
            <wp:extent cx="6024245" cy="4249420"/>
            <wp:effectExtent l="0" t="0" r="0" b="0"/>
            <wp:docPr id="1086" name="オブジェクト 0"/>
            <wp:cNvGraphicFramePr/>
            <a:graphic xmlns:a="http://schemas.openxmlformats.org/drawingml/2006/main">
              <a:graphicData uri="http://schemas.openxmlformats.org/drawingml/2006/picture">
                <pic:pic xmlns:pic="http://schemas.openxmlformats.org/drawingml/2006/picture">
                  <pic:nvPicPr>
                    <pic:cNvPr id="1086" name="オブジェクト 0"/>
                    <pic:cNvPicPr>
                      <a:picLocks noChangeAspect="1"/>
                    </pic:cNvPicPr>
                  </pic:nvPicPr>
                  <pic:blipFill>
                    <a:blip r:embed="rId63"/>
                    <a:stretch>
                      <a:fillRect/>
                    </a:stretch>
                  </pic:blipFill>
                  <pic:spPr>
                    <a:xfrm>
                      <a:off x="0" y="0"/>
                      <a:ext cx="6024245" cy="4249420"/>
                    </a:xfrm>
                    <a:prstGeom prst="rect">
                      <a:avLst/>
                    </a:prstGeom>
                  </pic:spPr>
                </pic:pic>
              </a:graphicData>
            </a:graphic>
          </wp:inline>
        </w:drawing>
      </w:r>
    </w:p>
    <w:p w:rsidR="00584782" w:rsidRDefault="003A4011">
      <w:pPr>
        <w:ind w:rightChars="100" w:right="210"/>
        <w:jc w:val="right"/>
        <w:rPr>
          <w:rFonts w:asciiTheme="majorEastAsia" w:eastAsiaTheme="majorEastAsia" w:hAnsiTheme="majorEastAsia"/>
          <w:sz w:val="18"/>
        </w:rPr>
      </w:pPr>
      <w:r>
        <w:rPr>
          <w:rFonts w:asciiTheme="majorEastAsia" w:eastAsiaTheme="majorEastAsia" w:hAnsiTheme="majorEastAsia" w:hint="eastAsia"/>
          <w:sz w:val="18"/>
        </w:rPr>
        <w:t>出典・参照：特定健診等ﾃﾞｰﾀ管理ｼｽﾃﾑ</w:t>
      </w: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ＭＳ Ｐゴシック" w:eastAsia="ＭＳ Ｐゴシック" w:hAnsi="ＭＳ Ｐゴシック"/>
          <w:sz w:val="32"/>
        </w:rPr>
      </w:pPr>
      <w:r>
        <w:rPr>
          <w:rFonts w:ascii="ＭＳ Ｐゴシック" w:eastAsia="ＭＳ Ｐゴシック" w:hAnsi="ＭＳ Ｐゴシック" w:hint="eastAsia"/>
          <w:sz w:val="32"/>
        </w:rPr>
        <w:t>１．糖尿病性腎症重症化予防</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1)</w:t>
      </w:r>
      <w:r>
        <w:rPr>
          <w:rFonts w:ascii="ＭＳ Ｐゴシック" w:eastAsia="ＭＳ Ｐゴシック" w:hAnsi="ＭＳ Ｐゴシック" w:hint="eastAsia"/>
          <w:sz w:val="28"/>
        </w:rPr>
        <w:t xml:space="preserve">　基本的な考え方</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糖尿病性腎症重症化予防の取組にあたっては「糖尿病性腎症重症化予防プログラム」（平成</w:t>
      </w:r>
      <w:r>
        <w:rPr>
          <w:rFonts w:ascii="ＭＳ Ｐゴシック" w:eastAsia="ＭＳ Ｐゴシック" w:hAnsi="ＭＳ Ｐゴシック" w:hint="eastAsia"/>
          <w:sz w:val="22"/>
        </w:rPr>
        <w:t>31</w:t>
      </w:r>
      <w:r>
        <w:rPr>
          <w:rFonts w:ascii="ＭＳ Ｐゴシック" w:eastAsia="ＭＳ Ｐゴシック" w:hAnsi="ＭＳ Ｐゴシック" w:hint="eastAsia"/>
          <w:sz w:val="22"/>
        </w:rPr>
        <w:t>年</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月</w:t>
      </w:r>
      <w:r>
        <w:rPr>
          <w:rFonts w:ascii="ＭＳ Ｐゴシック" w:eastAsia="ＭＳ Ｐゴシック" w:hAnsi="ＭＳ Ｐゴシック" w:hint="eastAsia"/>
          <w:sz w:val="22"/>
        </w:rPr>
        <w:t>25</w:t>
      </w:r>
      <w:r>
        <w:rPr>
          <w:rFonts w:ascii="ＭＳ Ｐゴシック" w:eastAsia="ＭＳ Ｐゴシック" w:hAnsi="ＭＳ Ｐゴシック" w:hint="eastAsia"/>
          <w:sz w:val="22"/>
        </w:rPr>
        <w:t>日改定　日本医師会　日本糖尿病推進会議　厚生労働省）及び</w:t>
      </w:r>
      <w:r>
        <w:rPr>
          <w:rFonts w:ascii="ＭＳ Ｐゴシック" w:eastAsia="ＭＳ Ｐゴシック" w:hAnsi="ＭＳ Ｐゴシック" w:hint="eastAsia"/>
          <w:sz w:val="22"/>
        </w:rPr>
        <w:t>沖縄県</w:t>
      </w:r>
      <w:r>
        <w:rPr>
          <w:rFonts w:ascii="ＭＳ Ｐゴシック" w:eastAsia="ＭＳ Ｐゴシック" w:hAnsi="ＭＳ Ｐゴシック" w:hint="eastAsia"/>
          <w:sz w:val="22"/>
        </w:rPr>
        <w:t>糖尿病性腎症重症化予防プログラムに基づき以下の視点で、ＰＤＣＡに沿って実施していきます。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なお、取組にあたっては（図表</w:t>
      </w:r>
      <w:r>
        <w:rPr>
          <w:rFonts w:ascii="ＭＳ Ｐゴシック" w:eastAsia="ＭＳ Ｐゴシック" w:hAnsi="ＭＳ Ｐゴシック" w:hint="eastAsia"/>
          <w:sz w:val="22"/>
        </w:rPr>
        <w:t>52</w:t>
      </w:r>
      <w:r>
        <w:rPr>
          <w:rFonts w:ascii="ＭＳ Ｐゴシック" w:eastAsia="ＭＳ Ｐゴシック" w:hAnsi="ＭＳ Ｐゴシック" w:hint="eastAsia"/>
          <w:sz w:val="22"/>
        </w:rPr>
        <w:t>）に沿って実施します。</w:t>
      </w:r>
    </w:p>
    <w:p w:rsidR="00584782" w:rsidRDefault="003A4011">
      <w:pPr>
        <w:pStyle w:val="a3"/>
        <w:numPr>
          <w:ilvl w:val="0"/>
          <w:numId w:val="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健康診査・レセプト等で抽出されたハイリスク者に対する受診勧奨、保健指導</w:t>
      </w:r>
    </w:p>
    <w:p w:rsidR="00584782" w:rsidRDefault="003A4011">
      <w:pPr>
        <w:pStyle w:val="a3"/>
        <w:numPr>
          <w:ilvl w:val="0"/>
          <w:numId w:val="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治療中の患者に対する医療と連携した保健指導</w:t>
      </w:r>
    </w:p>
    <w:p w:rsidR="00584782" w:rsidRDefault="003A4011">
      <w:pPr>
        <w:pStyle w:val="a3"/>
        <w:numPr>
          <w:ilvl w:val="0"/>
          <w:numId w:val="5"/>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糖尿病治療中断者や健診未受診者に対する対応</w:t>
      </w:r>
    </w:p>
    <w:p w:rsidR="00584782" w:rsidRDefault="00584782">
      <w:pPr>
        <w:rPr>
          <w:rFonts w:asciiTheme="majorEastAsia" w:eastAsiaTheme="majorEastAsia" w:hAnsiTheme="majorEastAsia"/>
          <w:sz w:val="22"/>
        </w:rPr>
      </w:pPr>
    </w:p>
    <w:p w:rsidR="00584782" w:rsidRDefault="003A4011">
      <w:pPr>
        <w:rPr>
          <w:rFonts w:ascii="ＭＳ Ｐゴシック" w:eastAsia="ＭＳ Ｐゴシック" w:hAnsi="ＭＳ Ｐゴシック"/>
          <w:sz w:val="22"/>
        </w:rPr>
      </w:pPr>
      <w:r>
        <w:rPr>
          <w:noProof/>
        </w:rPr>
        <w:lastRenderedPageBreak/>
        <w:drawing>
          <wp:anchor distT="0" distB="0" distL="114300" distR="114300" simplePos="0" relativeHeight="6" behindDoc="0" locked="0" layoutInCell="1" hidden="0" allowOverlap="1">
            <wp:simplePos x="0" y="0"/>
            <wp:positionH relativeFrom="margin">
              <wp:align>left</wp:align>
            </wp:positionH>
            <wp:positionV relativeFrom="paragraph">
              <wp:posOffset>274955</wp:posOffset>
            </wp:positionV>
            <wp:extent cx="5943600" cy="4358005"/>
            <wp:effectExtent l="0" t="0" r="0" b="0"/>
            <wp:wrapTopAndBottom/>
            <wp:docPr id="1087" name="図 5"/>
            <wp:cNvGraphicFramePr/>
            <a:graphic xmlns:a="http://schemas.openxmlformats.org/drawingml/2006/main">
              <a:graphicData uri="http://schemas.openxmlformats.org/drawingml/2006/picture">
                <pic:pic xmlns:pic="http://schemas.openxmlformats.org/drawingml/2006/picture">
                  <pic:nvPicPr>
                    <pic:cNvPr id="1087" name="図 5"/>
                    <pic:cNvPicPr>
                      <a:picLocks noChangeAspect="1" noChangeArrowheads="1"/>
                    </pic:cNvPicPr>
                  </pic:nvPicPr>
                  <pic:blipFill>
                    <a:blip r:embed="rId64"/>
                    <a:stretch>
                      <a:fillRect/>
                    </a:stretch>
                  </pic:blipFill>
                  <pic:spPr>
                    <a:xfrm>
                      <a:off x="0" y="0"/>
                      <a:ext cx="5943600" cy="4358005"/>
                    </a:xfrm>
                    <a:prstGeom prst="rect">
                      <a:avLst/>
                    </a:prstGeom>
                    <a:noFill/>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52</w:t>
      </w:r>
      <w:r>
        <w:rPr>
          <w:rFonts w:ascii="ＭＳ Ｐゴシック" w:eastAsia="ＭＳ Ｐゴシック" w:hAnsi="ＭＳ Ｐゴシック" w:hint="eastAsia"/>
          <w:sz w:val="22"/>
        </w:rPr>
        <w:t xml:space="preserve">　糖尿病性腎症重症化対象者の選定から保健指導計画策定までの流れ</w:t>
      </w: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２）対象者の明確化</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（１）対象者選定基準の考え方</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対象者の選定基準にあたっては、</w:t>
      </w:r>
      <w:r>
        <w:rPr>
          <w:rFonts w:ascii="ＭＳ Ｐゴシック" w:eastAsia="ＭＳ Ｐゴシック" w:hAnsi="ＭＳ Ｐゴシック" w:hint="eastAsia"/>
          <w:sz w:val="22"/>
        </w:rPr>
        <w:t>沖縄県</w:t>
      </w:r>
      <w:r>
        <w:rPr>
          <w:rFonts w:ascii="ＭＳ Ｐゴシック" w:eastAsia="ＭＳ Ｐゴシック" w:hAnsi="ＭＳ Ｐゴシック" w:hint="eastAsia"/>
          <w:sz w:val="22"/>
        </w:rPr>
        <w:t>糖尿病性腎症重症化予防プログラムに準じ、抽出すべき対象者を以下とします。</w:t>
      </w:r>
    </w:p>
    <w:p w:rsidR="00584782" w:rsidRDefault="003A4011">
      <w:pPr>
        <w:pStyle w:val="a3"/>
        <w:numPr>
          <w:ilvl w:val="0"/>
          <w:numId w:val="6"/>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医療機関未受診者</w:t>
      </w:r>
    </w:p>
    <w:p w:rsidR="00584782" w:rsidRDefault="003A4011">
      <w:pPr>
        <w:pStyle w:val="a3"/>
        <w:numPr>
          <w:ilvl w:val="0"/>
          <w:numId w:val="6"/>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医療機関受診中断者</w:t>
      </w:r>
    </w:p>
    <w:p w:rsidR="00584782" w:rsidRDefault="003A4011">
      <w:pPr>
        <w:pStyle w:val="a3"/>
        <w:numPr>
          <w:ilvl w:val="0"/>
          <w:numId w:val="6"/>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糖尿病治療中者</w:t>
      </w:r>
    </w:p>
    <w:p w:rsidR="00584782" w:rsidRDefault="003A4011">
      <w:pPr>
        <w:pStyle w:val="a3"/>
        <w:numPr>
          <w:ilvl w:val="0"/>
          <w:numId w:val="7"/>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糖尿病性腎症で通院している者</w:t>
      </w:r>
    </w:p>
    <w:p w:rsidR="00584782" w:rsidRDefault="003A4011">
      <w:pPr>
        <w:pStyle w:val="a3"/>
        <w:numPr>
          <w:ilvl w:val="0"/>
          <w:numId w:val="7"/>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糖尿病性腎症を発症していないが高血圧、メタボリックシンドローム該当者等リスクを有する者</w:t>
      </w:r>
    </w:p>
    <w:p w:rsidR="00584782" w:rsidRDefault="00584782">
      <w:pPr>
        <w:ind w:left="15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（２）選定基準に基づく該当者の把握</w:t>
      </w:r>
    </w:p>
    <w:p w:rsidR="00584782" w:rsidRDefault="003A4011">
      <w:pPr>
        <w:ind w:left="150"/>
        <w:rPr>
          <w:rFonts w:ascii="ＭＳ Ｐゴシック" w:eastAsia="ＭＳ Ｐゴシック" w:hAnsi="ＭＳ Ｐゴシック"/>
          <w:sz w:val="22"/>
        </w:rPr>
      </w:pPr>
      <w:r>
        <w:rPr>
          <w:rFonts w:ascii="ＭＳ Ｐゴシック" w:eastAsia="ＭＳ Ｐゴシック" w:hAnsi="ＭＳ Ｐゴシック" w:hint="eastAsia"/>
          <w:sz w:val="22"/>
        </w:rPr>
        <w:t>①対象者の抽出</w:t>
      </w:r>
    </w:p>
    <w:p w:rsidR="00584782" w:rsidRDefault="003A4011">
      <w:pPr>
        <w:ind w:left="15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取組を進めるにあたって、選定基準に基づく該当者を把握する必要があります。その方法として、国保が保有するレセプトデータおよび特定健診データを活用し、該当者数把握を行います。腎症重症化ハイリスク者を抽出する際は、「糖尿病性腎症病期分類」（糖尿病性腎症合同委員会）を基盤とします。（図表</w:t>
      </w:r>
      <w:r>
        <w:rPr>
          <w:rFonts w:ascii="ＭＳ Ｐゴシック" w:eastAsia="ＭＳ Ｐゴシック" w:hAnsi="ＭＳ Ｐゴシック" w:hint="eastAsia"/>
          <w:sz w:val="22"/>
        </w:rPr>
        <w:t>53</w:t>
      </w:r>
      <w:r>
        <w:rPr>
          <w:rFonts w:ascii="ＭＳ Ｐゴシック" w:eastAsia="ＭＳ Ｐゴシック" w:hAnsi="ＭＳ Ｐゴシック" w:hint="eastAsia"/>
          <w:sz w:val="22"/>
        </w:rPr>
        <w:t>）</w:t>
      </w:r>
    </w:p>
    <w:p w:rsidR="00584782" w:rsidRDefault="003A4011">
      <w:pPr>
        <w:rPr>
          <w:rFonts w:ascii="ＭＳ Ｐゴシック" w:eastAsia="ＭＳ Ｐゴシック" w:hAnsi="ＭＳ Ｐゴシック"/>
          <w:sz w:val="22"/>
        </w:rPr>
      </w:pPr>
      <w:r>
        <w:rPr>
          <w:rFonts w:hint="eastAsia"/>
          <w:noProof/>
        </w:rPr>
        <w:lastRenderedPageBreak/>
        <w:drawing>
          <wp:anchor distT="0" distB="0" distL="114300" distR="114300" simplePos="0" relativeHeight="20" behindDoc="0" locked="0" layoutInCell="1" hidden="0" allowOverlap="1">
            <wp:simplePos x="0" y="0"/>
            <wp:positionH relativeFrom="margin">
              <wp:align>left</wp:align>
            </wp:positionH>
            <wp:positionV relativeFrom="paragraph">
              <wp:posOffset>280670</wp:posOffset>
            </wp:positionV>
            <wp:extent cx="4500245" cy="2400300"/>
            <wp:effectExtent l="0" t="0" r="0" b="0"/>
            <wp:wrapTopAndBottom/>
            <wp:docPr id="1088" name="Picture 2"/>
            <wp:cNvGraphicFramePr/>
            <a:graphic xmlns:a="http://schemas.openxmlformats.org/drawingml/2006/main">
              <a:graphicData uri="http://schemas.openxmlformats.org/drawingml/2006/picture">
                <pic:pic xmlns:pic="http://schemas.openxmlformats.org/drawingml/2006/picture">
                  <pic:nvPicPr>
                    <pic:cNvPr id="1088" name="Picture 2"/>
                    <pic:cNvPicPr>
                      <a:picLocks noChangeAspect="1" noChangeArrowheads="1"/>
                    </pic:cNvPicPr>
                  </pic:nvPicPr>
                  <pic:blipFill>
                    <a:blip r:embed="rId65"/>
                    <a:stretch>
                      <a:fillRect/>
                    </a:stretch>
                  </pic:blipFill>
                  <pic:spPr>
                    <a:xfrm>
                      <a:off x="0" y="0"/>
                      <a:ext cx="4500245" cy="2400300"/>
                    </a:xfrm>
                    <a:prstGeom prst="rect">
                      <a:avLst/>
                    </a:prstGeom>
                    <a:noFill/>
                    <a:ln>
                      <a:noFill/>
                    </a:ln>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53</w:t>
      </w:r>
      <w:r>
        <w:rPr>
          <w:rFonts w:ascii="ＭＳ Ｐゴシック" w:eastAsia="ＭＳ Ｐゴシック" w:hAnsi="ＭＳ Ｐゴシック" w:hint="eastAsia"/>
          <w:sz w:val="22"/>
        </w:rPr>
        <w:t xml:space="preserve">　糖尿病性腎症病期分類</w:t>
      </w:r>
    </w:p>
    <w:p w:rsidR="00584782" w:rsidRDefault="003A4011">
      <w:pPr>
        <w:jc w:val="right"/>
        <w:rPr>
          <w:rFonts w:ascii="ＭＳ Ｐゴシック" w:eastAsia="ＭＳ Ｐゴシック" w:hAnsi="ＭＳ Ｐゴシック"/>
          <w:sz w:val="22"/>
        </w:rPr>
      </w:pPr>
      <w:r>
        <w:rPr>
          <w:rFonts w:ascii="ＭＳ Ｐゴシック" w:eastAsia="ＭＳ Ｐゴシック" w:hAnsi="ＭＳ Ｐゴシック" w:hint="eastAsia"/>
          <w:sz w:val="18"/>
        </w:rPr>
        <w:t>出典・参照：糖尿病治療ガイド</w:t>
      </w:r>
      <w:r>
        <w:rPr>
          <w:rFonts w:ascii="ＭＳ Ｐゴシック" w:eastAsia="ＭＳ Ｐゴシック" w:hAnsi="ＭＳ Ｐゴシック" w:hint="eastAsia"/>
          <w:sz w:val="18"/>
        </w:rPr>
        <w:t>2022-2023</w:t>
      </w:r>
    </w:p>
    <w:p w:rsidR="00584782" w:rsidRDefault="00584782">
      <w:pPr>
        <w:rPr>
          <w:rFonts w:asciiTheme="majorEastAsia" w:eastAsiaTheme="majorEastAsia" w:hAnsiTheme="majorEastAsia"/>
          <w:sz w:val="22"/>
        </w:rPr>
      </w:pPr>
    </w:p>
    <w:p w:rsidR="00584782" w:rsidRDefault="003A4011">
      <w:pPr>
        <w:ind w:firstLineChars="100" w:firstLine="220"/>
        <w:rPr>
          <w:rFonts w:asciiTheme="majorEastAsia" w:eastAsiaTheme="majorEastAsia" w:hAnsiTheme="majorEastAsia"/>
          <w:color w:val="0070C0"/>
          <w:sz w:val="22"/>
        </w:rPr>
      </w:pPr>
      <w:r>
        <w:rPr>
          <w:rFonts w:asciiTheme="majorEastAsia" w:eastAsiaTheme="majorEastAsia" w:hAnsiTheme="majorEastAsia" w:hint="eastAsia"/>
          <w:sz w:val="22"/>
        </w:rPr>
        <w:t>糖尿病性腎症病期分類では尿アルブミン値及び腎機能</w:t>
      </w:r>
      <w:r>
        <w:rPr>
          <w:rFonts w:asciiTheme="majorEastAsia" w:eastAsiaTheme="majorEastAsia" w:hAnsiTheme="majorEastAsia" w:hint="eastAsia"/>
          <w:sz w:val="22"/>
        </w:rPr>
        <w:t>(eGFR)</w:t>
      </w:r>
      <w:r>
        <w:rPr>
          <w:rFonts w:asciiTheme="majorEastAsia" w:eastAsiaTheme="majorEastAsia" w:hAnsiTheme="majorEastAsia" w:hint="eastAsia"/>
          <w:sz w:val="22"/>
        </w:rPr>
        <w:t>で把握していきます。</w:t>
      </w:r>
    </w:p>
    <w:p w:rsidR="00584782" w:rsidRDefault="003A4011">
      <w:pPr>
        <w:rPr>
          <w:rFonts w:asciiTheme="majorEastAsia" w:eastAsiaTheme="majorEastAsia" w:hAnsiTheme="majorEastAsia"/>
          <w:color w:val="0070C0"/>
          <w:sz w:val="22"/>
        </w:rPr>
      </w:pPr>
      <w:r>
        <w:rPr>
          <w:rFonts w:asciiTheme="majorEastAsia" w:eastAsiaTheme="majorEastAsia" w:hAnsiTheme="majorEastAsia" w:hint="eastAsia"/>
          <w:sz w:val="22"/>
        </w:rPr>
        <w:t>本町においては、</w:t>
      </w:r>
      <w:r>
        <w:rPr>
          <w:rFonts w:asciiTheme="majorEastAsia" w:eastAsiaTheme="majorEastAsia" w:hAnsiTheme="majorEastAsia" w:hint="eastAsia"/>
          <w:sz w:val="22"/>
        </w:rPr>
        <w:t>特定健診にて血清クレアチンニン検査、尿蛋</w:t>
      </w:r>
      <w:r>
        <w:rPr>
          <w:rFonts w:asciiTheme="majorEastAsia" w:eastAsiaTheme="majorEastAsia" w:hAnsiTheme="majorEastAsia" w:hint="eastAsia"/>
          <w:sz w:val="22"/>
        </w:rPr>
        <w:t>白（定性）検査を必須項目として実施しているため、腎機能（ｅ</w:t>
      </w:r>
      <w:r>
        <w:rPr>
          <w:rFonts w:asciiTheme="majorEastAsia" w:eastAsiaTheme="majorEastAsia" w:hAnsiTheme="majorEastAsia" w:hint="eastAsia"/>
          <w:sz w:val="22"/>
        </w:rPr>
        <w:t>GFR</w:t>
      </w:r>
      <w:r>
        <w:rPr>
          <w:rFonts w:asciiTheme="majorEastAsia" w:eastAsiaTheme="majorEastAsia" w:hAnsiTheme="majorEastAsia" w:hint="eastAsia"/>
          <w:sz w:val="22"/>
        </w:rPr>
        <w:t>）の把握は可能であるが、尿アルブミンについては把握が難しい。ＣＫＤ診療ガイド</w:t>
      </w:r>
      <w:r>
        <w:rPr>
          <w:rFonts w:asciiTheme="majorEastAsia" w:eastAsiaTheme="majorEastAsia" w:hAnsiTheme="majorEastAsia" w:hint="eastAsia"/>
          <w:sz w:val="22"/>
        </w:rPr>
        <w:t>2012</w:t>
      </w:r>
      <w:r>
        <w:rPr>
          <w:rFonts w:asciiTheme="majorEastAsia" w:eastAsiaTheme="majorEastAsia" w:hAnsiTheme="majorEastAsia" w:hint="eastAsia"/>
          <w:sz w:val="22"/>
        </w:rPr>
        <w:t>では尿アルブミン定量（</w:t>
      </w:r>
      <w:r>
        <w:rPr>
          <w:rFonts w:asciiTheme="majorEastAsia" w:eastAsiaTheme="majorEastAsia" w:hAnsiTheme="majorEastAsia" w:hint="eastAsia"/>
          <w:sz w:val="22"/>
        </w:rPr>
        <w:t>mg/dl</w:t>
      </w:r>
      <w:r>
        <w:rPr>
          <w:rFonts w:asciiTheme="majorEastAsia" w:eastAsiaTheme="majorEastAsia" w:hAnsiTheme="majorEastAsia" w:hint="eastAsia"/>
          <w:sz w:val="22"/>
        </w:rPr>
        <w:t>）に対する尿蛋白を正常アルブミン尿と尿蛋白（－）、微量アルブミン尿と尿蛋白（±）、顕性アルブミン尿（＋）としていることから、尿蛋白（定性）検査でも腎症病期の推測が可能となります。</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②基準に基づく該当者数の把握</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レセプトデータと特定健診データを用い、医療機関受診状況を踏まえて対象者数把握を行いました。</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本町において特定健診受診者のうち糖尿病未治療者は、</w:t>
      </w:r>
      <w:r>
        <w:rPr>
          <w:rFonts w:asciiTheme="majorEastAsia" w:eastAsiaTheme="majorEastAsia" w:hAnsiTheme="majorEastAsia" w:hint="eastAsia"/>
          <w:sz w:val="22"/>
        </w:rPr>
        <w:t>28</w:t>
      </w:r>
      <w:r>
        <w:rPr>
          <w:rFonts w:asciiTheme="majorEastAsia" w:eastAsiaTheme="majorEastAsia" w:hAnsiTheme="majorEastAsia" w:hint="eastAsia"/>
          <w:sz w:val="22"/>
        </w:rPr>
        <w:t>人</w:t>
      </w:r>
      <w:r>
        <w:rPr>
          <w:rFonts w:asciiTheme="majorEastAsia" w:eastAsiaTheme="majorEastAsia" w:hAnsiTheme="majorEastAsia" w:hint="eastAsia"/>
          <w:sz w:val="22"/>
        </w:rPr>
        <w:t>(15.6%</w:t>
      </w:r>
      <w:r>
        <w:rPr>
          <w:rFonts w:asciiTheme="majorEastAsia" w:eastAsiaTheme="majorEastAsia" w:hAnsiTheme="majorEastAsia" w:hint="eastAsia"/>
          <w:sz w:val="22"/>
        </w:rPr>
        <w:t>・Ｆ</w:t>
      </w:r>
      <w:r>
        <w:rPr>
          <w:rFonts w:asciiTheme="majorEastAsia" w:eastAsiaTheme="majorEastAsia" w:hAnsiTheme="majorEastAsia" w:hint="eastAsia"/>
          <w:sz w:val="22"/>
        </w:rPr>
        <w:t>)</w:t>
      </w:r>
      <w:r>
        <w:rPr>
          <w:rFonts w:asciiTheme="majorEastAsia" w:eastAsiaTheme="majorEastAsia" w:hAnsiTheme="majorEastAsia" w:hint="eastAsia"/>
          <w:sz w:val="22"/>
        </w:rPr>
        <w:t>でした。</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また、</w:t>
      </w:r>
      <w:r>
        <w:rPr>
          <w:rFonts w:asciiTheme="majorEastAsia" w:eastAsiaTheme="majorEastAsia" w:hAnsiTheme="majorEastAsia" w:hint="eastAsia"/>
          <w:sz w:val="22"/>
        </w:rPr>
        <w:t>40</w:t>
      </w:r>
      <w:r>
        <w:rPr>
          <w:rFonts w:asciiTheme="majorEastAsia" w:eastAsiaTheme="majorEastAsia" w:hAnsiTheme="majorEastAsia" w:hint="eastAsia"/>
          <w:sz w:val="22"/>
        </w:rPr>
        <w:t>～</w:t>
      </w:r>
      <w:r>
        <w:rPr>
          <w:rFonts w:asciiTheme="majorEastAsia" w:eastAsiaTheme="majorEastAsia" w:hAnsiTheme="majorEastAsia" w:hint="eastAsia"/>
          <w:sz w:val="22"/>
        </w:rPr>
        <w:t>74</w:t>
      </w:r>
      <w:r>
        <w:rPr>
          <w:rFonts w:asciiTheme="majorEastAsia" w:eastAsiaTheme="majorEastAsia" w:hAnsiTheme="majorEastAsia" w:hint="eastAsia"/>
          <w:sz w:val="22"/>
        </w:rPr>
        <w:t>歳における糖尿病治療者</w:t>
      </w:r>
      <w:r>
        <w:rPr>
          <w:rFonts w:asciiTheme="majorEastAsia" w:eastAsiaTheme="majorEastAsia" w:hAnsiTheme="majorEastAsia" w:hint="eastAsia"/>
          <w:sz w:val="22"/>
        </w:rPr>
        <w:t>563</w:t>
      </w:r>
      <w:r>
        <w:rPr>
          <w:rFonts w:asciiTheme="majorEastAsia" w:eastAsiaTheme="majorEastAsia" w:hAnsiTheme="majorEastAsia" w:hint="eastAsia"/>
          <w:sz w:val="22"/>
        </w:rPr>
        <w:t>人のうち、特定健診受診者が</w:t>
      </w:r>
      <w:r>
        <w:rPr>
          <w:rFonts w:asciiTheme="majorEastAsia" w:eastAsiaTheme="majorEastAsia" w:hAnsiTheme="majorEastAsia" w:hint="eastAsia"/>
          <w:sz w:val="22"/>
        </w:rPr>
        <w:t>151</w:t>
      </w:r>
      <w:r>
        <w:rPr>
          <w:rFonts w:asciiTheme="majorEastAsia" w:eastAsiaTheme="majorEastAsia" w:hAnsiTheme="majorEastAsia" w:hint="eastAsia"/>
          <w:sz w:val="22"/>
        </w:rPr>
        <w:t>人</w:t>
      </w:r>
      <w:r>
        <w:rPr>
          <w:rFonts w:asciiTheme="majorEastAsia" w:eastAsiaTheme="majorEastAsia" w:hAnsiTheme="majorEastAsia" w:hint="eastAsia"/>
          <w:sz w:val="22"/>
        </w:rPr>
        <w:t>(84.3%</w:t>
      </w:r>
      <w:r>
        <w:rPr>
          <w:rFonts w:asciiTheme="majorEastAsia" w:eastAsiaTheme="majorEastAsia" w:hAnsiTheme="majorEastAsia" w:hint="eastAsia"/>
          <w:sz w:val="22"/>
        </w:rPr>
        <w:t>・Ｇ</w:t>
      </w:r>
      <w:r>
        <w:rPr>
          <w:rFonts w:asciiTheme="majorEastAsia" w:eastAsiaTheme="majorEastAsia" w:hAnsiTheme="majorEastAsia" w:hint="eastAsia"/>
          <w:sz w:val="22"/>
        </w:rPr>
        <w:t>)</w:t>
      </w:r>
      <w:r>
        <w:rPr>
          <w:rFonts w:asciiTheme="majorEastAsia" w:eastAsiaTheme="majorEastAsia" w:hAnsiTheme="majorEastAsia" w:hint="eastAsia"/>
          <w:sz w:val="22"/>
        </w:rPr>
        <w:t>であった。糖尿病治療者で特定健診未受診者</w:t>
      </w:r>
      <w:r>
        <w:rPr>
          <w:rFonts w:asciiTheme="majorEastAsia" w:eastAsiaTheme="majorEastAsia" w:hAnsiTheme="majorEastAsia" w:hint="eastAsia"/>
          <w:sz w:val="22"/>
        </w:rPr>
        <w:t>317</w:t>
      </w:r>
      <w:r>
        <w:rPr>
          <w:rFonts w:asciiTheme="majorEastAsia" w:eastAsiaTheme="majorEastAsia" w:hAnsiTheme="majorEastAsia" w:hint="eastAsia"/>
          <w:sz w:val="22"/>
        </w:rPr>
        <w:t>人（</w:t>
      </w:r>
      <w:r>
        <w:rPr>
          <w:rFonts w:asciiTheme="majorEastAsia" w:eastAsiaTheme="majorEastAsia" w:hAnsiTheme="majorEastAsia" w:hint="eastAsia"/>
          <w:sz w:val="22"/>
        </w:rPr>
        <w:t>57.4%</w:t>
      </w:r>
      <w:r>
        <w:rPr>
          <w:rFonts w:asciiTheme="majorEastAsia" w:eastAsiaTheme="majorEastAsia" w:hAnsiTheme="majorEastAsia" w:hint="eastAsia"/>
          <w:sz w:val="22"/>
        </w:rPr>
        <w:t>・Ｉ）については、治療中であるが、データが不明なため重症化予防に向けて医療機関と連携した介入が必要になってきます。</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③介入方法と優先順位</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（図表</w:t>
      </w:r>
      <w:r>
        <w:rPr>
          <w:rFonts w:asciiTheme="majorEastAsia" w:eastAsiaTheme="majorEastAsia" w:hAnsiTheme="majorEastAsia" w:hint="eastAsia"/>
          <w:sz w:val="22"/>
        </w:rPr>
        <w:t>54</w:t>
      </w:r>
      <w:r>
        <w:rPr>
          <w:rFonts w:asciiTheme="majorEastAsia" w:eastAsiaTheme="majorEastAsia" w:hAnsiTheme="majorEastAsia" w:hint="eastAsia"/>
          <w:sz w:val="22"/>
        </w:rPr>
        <w:t>）</w:t>
      </w:r>
      <w:r>
        <w:rPr>
          <w:rFonts w:asciiTheme="majorEastAsia" w:eastAsiaTheme="majorEastAsia" w:hAnsiTheme="majorEastAsia" w:hint="eastAsia"/>
          <w:sz w:val="22"/>
        </w:rPr>
        <w:t>より本町においての介入方法を以下のとおりとします。</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優先順位１</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【受診勧奨】</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・糖尿病が重症化するリスクの高い医療機関未受</w:t>
      </w:r>
      <w:r>
        <w:rPr>
          <w:rFonts w:asciiTheme="majorEastAsia" w:eastAsiaTheme="majorEastAsia" w:hAnsiTheme="majorEastAsia" w:hint="eastAsia"/>
          <w:sz w:val="22"/>
        </w:rPr>
        <w:t>診者（Ｆ）・・・</w:t>
      </w:r>
      <w:r>
        <w:rPr>
          <w:rFonts w:asciiTheme="majorEastAsia" w:eastAsiaTheme="majorEastAsia" w:hAnsiTheme="majorEastAsia" w:hint="eastAsia"/>
          <w:sz w:val="22"/>
        </w:rPr>
        <w:t>28</w:t>
      </w:r>
      <w:r>
        <w:rPr>
          <w:rFonts w:asciiTheme="majorEastAsia" w:eastAsiaTheme="majorEastAsia" w:hAnsiTheme="majorEastAsia" w:hint="eastAsia"/>
          <w:sz w:val="22"/>
        </w:rPr>
        <w:t>人</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優先順位２</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【保健指導】</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・糖尿病で治療する患者のうち重症化するリスクの高い者（Ｊ）・・・</w:t>
      </w:r>
      <w:r>
        <w:rPr>
          <w:rFonts w:asciiTheme="majorEastAsia" w:eastAsiaTheme="majorEastAsia" w:hAnsiTheme="majorEastAsia" w:hint="eastAsia"/>
          <w:sz w:val="22"/>
        </w:rPr>
        <w:t>75</w:t>
      </w:r>
      <w:r>
        <w:rPr>
          <w:rFonts w:asciiTheme="majorEastAsia" w:eastAsiaTheme="majorEastAsia" w:hAnsiTheme="majorEastAsia" w:hint="eastAsia"/>
          <w:sz w:val="22"/>
        </w:rPr>
        <w:t>人</w:t>
      </w:r>
    </w:p>
    <w:p w:rsidR="00584782" w:rsidRDefault="003A4011">
      <w:pPr>
        <w:rPr>
          <w:rFonts w:asciiTheme="majorEastAsia" w:eastAsiaTheme="majorEastAsia" w:hAnsiTheme="majorEastAsia"/>
          <w:sz w:val="22"/>
        </w:rPr>
      </w:pPr>
      <w:r>
        <w:rPr>
          <w:rFonts w:asciiTheme="majorEastAsia" w:eastAsiaTheme="majorEastAsia" w:hAnsiTheme="majorEastAsia" w:hint="eastAsia"/>
          <w:color w:val="0070C0"/>
          <w:sz w:val="22"/>
        </w:rPr>
        <w:t xml:space="preserve">　</w:t>
      </w:r>
      <w:r>
        <w:rPr>
          <w:rFonts w:asciiTheme="majorEastAsia" w:eastAsiaTheme="majorEastAsia" w:hAnsiTheme="majorEastAsia" w:hint="eastAsia"/>
          <w:sz w:val="22"/>
        </w:rPr>
        <w:t>治療中断しない（継続受診）のための保健指導</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・介入方法として個別訪問、個別面談、電話、手紙等で対応</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・医療機関と連携した保健指導</w:t>
      </w: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lastRenderedPageBreak/>
        <w:t>図表</w:t>
      </w:r>
      <w:r>
        <w:rPr>
          <w:rFonts w:asciiTheme="majorEastAsia" w:eastAsiaTheme="majorEastAsia" w:hAnsiTheme="majorEastAsia" w:hint="eastAsia"/>
          <w:sz w:val="22"/>
        </w:rPr>
        <w:t>54</w:t>
      </w:r>
      <w:r>
        <w:rPr>
          <w:rFonts w:asciiTheme="majorEastAsia" w:eastAsiaTheme="majorEastAsia" w:hAnsiTheme="majorEastAsia" w:hint="eastAsia"/>
          <w:sz w:val="22"/>
        </w:rPr>
        <w:t xml:space="preserve">　糖尿病重症化予防のためのレセプトと健診データの突合</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3615" cy="4364355"/>
            <wp:effectExtent l="0" t="0" r="0" b="0"/>
            <wp:docPr id="1089" name="オブジェクト 0"/>
            <wp:cNvGraphicFramePr/>
            <a:graphic xmlns:a="http://schemas.openxmlformats.org/drawingml/2006/main">
              <a:graphicData uri="http://schemas.openxmlformats.org/drawingml/2006/picture">
                <pic:pic xmlns:pic="http://schemas.openxmlformats.org/drawingml/2006/picture">
                  <pic:nvPicPr>
                    <pic:cNvPr id="1089" name="オブジェクト 0"/>
                    <pic:cNvPicPr>
                      <a:picLocks noChangeAspect="1"/>
                    </pic:cNvPicPr>
                  </pic:nvPicPr>
                  <pic:blipFill>
                    <a:blip r:embed="rId66"/>
                    <a:stretch>
                      <a:fillRect/>
                    </a:stretch>
                  </pic:blipFill>
                  <pic:spPr>
                    <a:xfrm>
                      <a:off x="0" y="0"/>
                      <a:ext cx="6063615" cy="4364355"/>
                    </a:xfrm>
                    <a:prstGeom prst="rect">
                      <a:avLst/>
                    </a:prstGeom>
                  </pic:spPr>
                </pic:pic>
              </a:graphicData>
            </a:graphic>
          </wp:inline>
        </w:drawing>
      </w:r>
    </w:p>
    <w:p w:rsidR="00584782" w:rsidRDefault="003A4011">
      <w:pPr>
        <w:jc w:val="right"/>
        <w:rPr>
          <w:rFonts w:asciiTheme="majorEastAsia" w:eastAsiaTheme="majorEastAsia" w:hAnsiTheme="majorEastAsia"/>
          <w:sz w:val="18"/>
        </w:rPr>
      </w:pPr>
      <w:r>
        <w:rPr>
          <w:rFonts w:asciiTheme="majorEastAsia" w:eastAsiaTheme="majorEastAsia" w:hAnsiTheme="majorEastAsia" w:hint="eastAsia"/>
          <w:sz w:val="18"/>
        </w:rPr>
        <w:t>出典・参照：保険者ﾃﾞｰﾀﾍﾙｽ支援ｼｽﾃﾑ</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３）　保健指導の実施</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　糖尿病性腎症病期及び生活習慣病リスクに応じた保健指導</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糖尿病性腎症の発症・進展抑制には、血糖値と血圧のコントロールが重要です。また、腎症の進展とともに大血管障害の合併リスクが高くなるため、肥満・脂質異常症、喫煙などの因子の管理も重要となってきます。</w:t>
      </w:r>
      <w:r>
        <w:rPr>
          <w:rFonts w:asciiTheme="majorEastAsia" w:eastAsiaTheme="majorEastAsia" w:hAnsiTheme="majorEastAsia" w:hint="eastAsia"/>
          <w:sz w:val="22"/>
        </w:rPr>
        <w:t>本町においては、特定健診受診者を糖尿病性腎症病期分類及び生活習慣病のリスク因子を合わせて、対象者に応じた保健指導を考えていきます。また、対象者への保健指導については糖尿病治療ガイド、</w:t>
      </w:r>
      <w:r>
        <w:rPr>
          <w:rFonts w:asciiTheme="majorEastAsia" w:eastAsiaTheme="majorEastAsia" w:hAnsiTheme="majorEastAsia" w:hint="eastAsia"/>
          <w:sz w:val="22"/>
        </w:rPr>
        <w:t>CKD</w:t>
      </w:r>
      <w:r>
        <w:rPr>
          <w:rFonts w:asciiTheme="majorEastAsia" w:eastAsiaTheme="majorEastAsia" w:hAnsiTheme="majorEastAsia" w:hint="eastAsia"/>
          <w:sz w:val="22"/>
        </w:rPr>
        <w:t>診療ガイド等を参考に作成した保健指導用教材を活用し行っていきます。</w:t>
      </w: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Theme="majorEastAsia" w:eastAsiaTheme="majorEastAsia" w:hAnsiTheme="majorEastAsia"/>
          <w:sz w:val="20"/>
        </w:rPr>
      </w:pPr>
      <w:r>
        <w:rPr>
          <w:rFonts w:asciiTheme="majorEastAsia" w:eastAsiaTheme="majorEastAsia" w:hAnsiTheme="majorEastAsia" w:hint="eastAsia"/>
          <w:sz w:val="22"/>
        </w:rPr>
        <w:lastRenderedPageBreak/>
        <w:t>図表</w:t>
      </w:r>
      <w:r>
        <w:rPr>
          <w:rFonts w:asciiTheme="majorEastAsia" w:eastAsiaTheme="majorEastAsia" w:hAnsiTheme="majorEastAsia" w:hint="eastAsia"/>
          <w:sz w:val="22"/>
        </w:rPr>
        <w:t xml:space="preserve">55 </w:t>
      </w:r>
      <w:r>
        <w:rPr>
          <w:rFonts w:asciiTheme="majorEastAsia" w:eastAsiaTheme="majorEastAsia" w:hAnsiTheme="majorEastAsia" w:hint="eastAsia"/>
          <w:sz w:val="20"/>
        </w:rPr>
        <w:t>令和４年度版　なぜ治療が必要なのかを学習するための資料</w:t>
      </w:r>
    </w:p>
    <w:p w:rsidR="00584782" w:rsidRDefault="003A4011">
      <w:pPr>
        <w:rPr>
          <w:rFonts w:asciiTheme="majorEastAsia" w:eastAsiaTheme="majorEastAsia" w:hAnsiTheme="majorEastAsia"/>
          <w:color w:val="0070C0"/>
          <w:sz w:val="24"/>
        </w:rPr>
      </w:pPr>
      <w:r>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hint="eastAsia"/>
          <w:sz w:val="20"/>
        </w:rPr>
        <w:t>令和４年度版　沖縄　食ノート　肥満を解決するための食の資料</w:t>
      </w:r>
      <w:r>
        <w:rPr>
          <w:rFonts w:asciiTheme="majorEastAsia" w:eastAsiaTheme="majorEastAsia" w:hAnsiTheme="majorEastAsia" w:hint="eastAsia"/>
          <w:sz w:val="20"/>
        </w:rPr>
        <w:t>Ver.3</w:t>
      </w:r>
      <w:r>
        <w:rPr>
          <w:rFonts w:asciiTheme="majorEastAsia" w:eastAsiaTheme="majorEastAsia" w:hAnsiTheme="majorEastAsia" w:hint="eastAsia"/>
          <w:sz w:val="14"/>
        </w:rPr>
        <w:t>（沖縄県ヘルスアップ支援事業）</w:t>
      </w:r>
    </w:p>
    <w:p w:rsidR="00584782" w:rsidRDefault="003A4011">
      <w:pPr>
        <w:rPr>
          <w:rFonts w:ascii="ＭＳ Ｐゴシック" w:eastAsia="ＭＳ Ｐゴシック" w:hAnsi="ＭＳ Ｐゴシック"/>
          <w:sz w:val="22"/>
        </w:rPr>
      </w:pPr>
      <w:r>
        <w:rPr>
          <w:rFonts w:hint="eastAsia"/>
          <w:noProof/>
        </w:rPr>
        <w:drawing>
          <wp:anchor distT="0" distB="0" distL="114300" distR="114300" simplePos="0" relativeHeight="69" behindDoc="0" locked="0" layoutInCell="1" hidden="0" allowOverlap="1">
            <wp:simplePos x="0" y="0"/>
            <wp:positionH relativeFrom="column">
              <wp:posOffset>305435</wp:posOffset>
            </wp:positionH>
            <wp:positionV relativeFrom="paragraph">
              <wp:posOffset>83820</wp:posOffset>
            </wp:positionV>
            <wp:extent cx="4995545" cy="5870575"/>
            <wp:effectExtent l="0" t="0" r="0" b="0"/>
            <wp:wrapTopAndBottom/>
            <wp:docPr id="1090" name="Picture 4"/>
            <wp:cNvGraphicFramePr/>
            <a:graphic xmlns:a="http://schemas.openxmlformats.org/drawingml/2006/main">
              <a:graphicData uri="http://schemas.openxmlformats.org/drawingml/2006/picture">
                <pic:pic xmlns:pic="http://schemas.openxmlformats.org/drawingml/2006/picture">
                  <pic:nvPicPr>
                    <pic:cNvPr id="1090" name="Picture 4"/>
                    <pic:cNvPicPr>
                      <a:picLocks noChangeAspect="1" noChangeArrowheads="1"/>
                    </pic:cNvPicPr>
                  </pic:nvPicPr>
                  <pic:blipFill>
                    <a:blip r:embed="rId67"/>
                    <a:stretch>
                      <a:fillRect/>
                    </a:stretch>
                  </pic:blipFill>
                  <pic:spPr>
                    <a:xfrm>
                      <a:off x="0" y="0"/>
                      <a:ext cx="4995545" cy="5870575"/>
                    </a:xfrm>
                    <a:prstGeom prst="rect">
                      <a:avLst/>
                    </a:prstGeom>
                    <a:noFill/>
                    <a:ln>
                      <a:noFill/>
                    </a:ln>
                  </pic:spPr>
                </pic:pic>
              </a:graphicData>
            </a:graphic>
          </wp:anchor>
        </w:drawing>
      </w:r>
      <w:r>
        <w:rPr>
          <w:rFonts w:ascii="ＭＳ Ｐゴシック" w:eastAsia="ＭＳ Ｐゴシック" w:hAnsi="ＭＳ Ｐゴシック" w:hint="eastAsia"/>
          <w:sz w:val="22"/>
        </w:rPr>
        <w:t>（２）　二次健診等を活用した重症化予防対策</w:t>
      </w:r>
    </w:p>
    <w:p w:rsidR="00584782" w:rsidRDefault="00584782">
      <w:pPr>
        <w:rPr>
          <w:rFonts w:ascii="ＭＳ Ｐゴシック" w:eastAsia="ＭＳ Ｐゴシック" w:hAnsi="ＭＳ Ｐゴシック"/>
          <w:sz w:val="22"/>
        </w:rPr>
      </w:pPr>
    </w:p>
    <w:p w:rsidR="00584782" w:rsidRDefault="003A4011">
      <w:pPr>
        <w:ind w:firstLineChars="100" w:firstLine="220"/>
        <w:rPr>
          <w:rFonts w:ascii="ＭＳ Ｐゴシック" w:eastAsia="ＭＳ Ｐゴシック" w:hAnsi="ＭＳ Ｐゴシック"/>
          <w:sz w:val="28"/>
        </w:rPr>
      </w:pPr>
      <w:r>
        <w:rPr>
          <w:rFonts w:ascii="ＭＳ Ｐゴシック" w:eastAsia="ＭＳ Ｐゴシック" w:hAnsi="ＭＳ Ｐゴシック" w:hint="eastAsia"/>
          <w:sz w:val="22"/>
        </w:rPr>
        <w:t>特定健診では尿蛋白定性検査のみの実施のため可逆的な糖尿病性腎症第</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期を逃す恐れがあります。腎症重症化ハイリスク者の増加抑制のため、対象者のうち尿蛋白定性（±）へは、二次健診等で尿アルブミン検査を実施し、結果に基づき早期介入を行うことで腎症重症化予防を目指します。</w:t>
      </w: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４）　医療との連携</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　医療機</w:t>
      </w:r>
      <w:r>
        <w:rPr>
          <w:rFonts w:ascii="ＭＳ Ｐゴシック" w:eastAsia="ＭＳ Ｐゴシック" w:hAnsi="ＭＳ Ｐゴシック" w:hint="eastAsia"/>
          <w:sz w:val="22"/>
        </w:rPr>
        <w:t>関未受診者について</w:t>
      </w:r>
    </w:p>
    <w:p w:rsidR="00584782" w:rsidRDefault="003A4011">
      <w:pPr>
        <w:ind w:firstLineChars="100" w:firstLine="220"/>
        <w:rPr>
          <w:rFonts w:asciiTheme="majorEastAsia" w:eastAsiaTheme="majorEastAsia" w:hAnsiTheme="majorEastAsia"/>
          <w:b/>
          <w:color w:val="0070C0"/>
          <w:sz w:val="22"/>
        </w:rPr>
      </w:pPr>
      <w:r>
        <w:rPr>
          <w:rFonts w:ascii="ＭＳ Ｐゴシック" w:eastAsia="ＭＳ Ｐゴシック" w:hAnsi="ＭＳ Ｐゴシック" w:hint="eastAsia"/>
          <w:sz w:val="22"/>
        </w:rPr>
        <w:t>医療機関未受診者・治療中断者を医療機関につなぐ場合、北部地域圏域医療連携パスを活用して情報提供を行い、医師からの返書で治療方針の確認や保健指導への助言を得ています。</w:t>
      </w:r>
      <w:r>
        <w:rPr>
          <w:rFonts w:asciiTheme="majorEastAsia" w:eastAsiaTheme="majorEastAsia" w:hAnsiTheme="majorEastAsia" w:hint="eastAsia"/>
          <w:color w:val="0070C0"/>
          <w:sz w:val="22"/>
        </w:rPr>
        <w:t xml:space="preserve">　</w:t>
      </w:r>
      <w:r>
        <w:rPr>
          <w:rFonts w:asciiTheme="majorEastAsia" w:eastAsiaTheme="majorEastAsia" w:hAnsiTheme="majorEastAsia" w:hint="eastAsia"/>
          <w:b/>
          <w:color w:val="0070C0"/>
          <w:sz w:val="22"/>
        </w:rPr>
        <w:t xml:space="preserve">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　治療中の者への対応</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治療中の場合は糖尿病連携手帳を活用し、かかりつけ医より対象者の検査データの収集、保健指導への助言をもらいます。かかりつけ医、専門医との連携にあたっては沖縄県のプログラムに準じ行っていき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５）　高齢者福祉部門（介護保険部局）との連携</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高齢者の保健事業と介護予防の一体的実施を行っていく中で、地域包括支援センターと情報を共有し、連携していきます。</w:t>
      </w:r>
    </w:p>
    <w:p w:rsidR="00584782" w:rsidRDefault="00584782">
      <w:pPr>
        <w:rPr>
          <w:rFonts w:asciiTheme="majorEastAsia" w:eastAsiaTheme="majorEastAsia" w:hAnsiTheme="majorEastAsia"/>
          <w:color w:val="0070C0"/>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６）　評価</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評価を行うにあたっては，短期的評価・中長期的評価の視点で考えていきます。短期的評価　　　についてはデータヘルス計画の評価等と合わせ年</w:t>
      </w:r>
      <w:r>
        <w:rPr>
          <w:rFonts w:asciiTheme="majorEastAsia" w:eastAsiaTheme="majorEastAsia" w:hAnsiTheme="majorEastAsia" w:hint="eastAsia"/>
          <w:sz w:val="22"/>
        </w:rPr>
        <w:t>1</w:t>
      </w:r>
      <w:r>
        <w:rPr>
          <w:rFonts w:asciiTheme="majorEastAsia" w:eastAsiaTheme="majorEastAsia" w:hAnsiTheme="majorEastAsia" w:hint="eastAsia"/>
          <w:sz w:val="22"/>
        </w:rPr>
        <w:t>回行うものとします。その際は糖尿病管理台帳の情報及び</w:t>
      </w:r>
      <w:r>
        <w:rPr>
          <w:rFonts w:asciiTheme="majorEastAsia" w:eastAsiaTheme="majorEastAsia" w:hAnsiTheme="majorEastAsia" w:hint="eastAsia"/>
          <w:sz w:val="22"/>
        </w:rPr>
        <w:t>KDB</w:t>
      </w:r>
      <w:r>
        <w:rPr>
          <w:rFonts w:asciiTheme="majorEastAsia" w:eastAsiaTheme="majorEastAsia" w:hAnsiTheme="majorEastAsia" w:hint="eastAsia"/>
          <w:sz w:val="22"/>
        </w:rPr>
        <w:t>等の情報を活用します。また、中長期的評価においては、図表</w:t>
      </w:r>
      <w:r>
        <w:rPr>
          <w:rFonts w:asciiTheme="majorEastAsia" w:eastAsiaTheme="majorEastAsia" w:hAnsiTheme="majorEastAsia" w:hint="eastAsia"/>
          <w:sz w:val="22"/>
        </w:rPr>
        <w:t>56</w:t>
      </w:r>
      <w:r>
        <w:rPr>
          <w:rFonts w:asciiTheme="majorEastAsia" w:eastAsiaTheme="majorEastAsia" w:hAnsiTheme="majorEastAsia" w:hint="eastAsia"/>
          <w:sz w:val="22"/>
        </w:rPr>
        <w:t>糖尿病性腎症重症化予防の取組評価を用いて行っていきます。</w:t>
      </w:r>
    </w:p>
    <w:p w:rsidR="00584782" w:rsidRDefault="00584782">
      <w:pPr>
        <w:ind w:firstLineChars="100" w:firstLine="220"/>
        <w:rPr>
          <w:rFonts w:asciiTheme="majorEastAsia" w:eastAsiaTheme="majorEastAsia" w:hAnsiTheme="majorEastAsia"/>
          <w:color w:val="0070C0"/>
          <w:sz w:val="22"/>
        </w:rPr>
      </w:pPr>
    </w:p>
    <w:p w:rsidR="00584782" w:rsidRDefault="003A4011">
      <w:pPr>
        <w:rPr>
          <w:rFonts w:asciiTheme="majorEastAsia" w:eastAsiaTheme="majorEastAsia" w:hAnsiTheme="majorEastAsia"/>
          <w:b/>
          <w:sz w:val="22"/>
        </w:rPr>
      </w:pPr>
      <w:r>
        <w:rPr>
          <w:rFonts w:asciiTheme="majorEastAsia" w:eastAsiaTheme="majorEastAsia" w:hAnsiTheme="majorEastAsia" w:hint="eastAsia"/>
          <w:b/>
          <w:sz w:val="22"/>
        </w:rPr>
        <w:t>短期的評価</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①受診勧奨者に対する評価</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ア．受診勧奨対象者への介入率</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イ．医</w:t>
      </w:r>
      <w:r>
        <w:rPr>
          <w:rFonts w:asciiTheme="majorEastAsia" w:eastAsiaTheme="majorEastAsia" w:hAnsiTheme="majorEastAsia" w:hint="eastAsia"/>
          <w:sz w:val="22"/>
        </w:rPr>
        <w:t>療機関受診率</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ウ．医療機関未受診者への再勧奨数</w:t>
      </w:r>
    </w:p>
    <w:p w:rsidR="00584782" w:rsidRDefault="00584782">
      <w:pPr>
        <w:rPr>
          <w:rFonts w:asciiTheme="majorEastAsia" w:eastAsiaTheme="majorEastAsia" w:hAnsiTheme="majorEastAsia"/>
          <w:sz w:val="22"/>
        </w:rPr>
      </w:pP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②保健指導対象者に対する評価</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ア．保健指導実施率</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イ．糖尿病管理台帳から介入前後の検査値の変化を比較</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hint="eastAsia"/>
          <w:sz w:val="22"/>
        </w:rPr>
        <w:t>HbA1</w:t>
      </w:r>
      <w:r>
        <w:rPr>
          <w:rFonts w:asciiTheme="majorEastAsia" w:eastAsiaTheme="majorEastAsia" w:hAnsiTheme="majorEastAsia" w:hint="eastAsia"/>
          <w:sz w:val="22"/>
        </w:rPr>
        <w:t xml:space="preserve">ｃの変化　　　　　　　　　　　　　　　　　　　　　　　　　　　　　　　　　　　　　　　　　　　　　　　　　　　　　　　　　　　　　　　　　　　　　　　　　　　　　　　　　　　　　　　　　　　　　　　　　　　　　　　　　　　　　　　　　　　　　　　　　　　　　　　　　　　　　　　　　　　　　　　　　　　　　　　　　　　　　　　　　　　　　　　　　　　</w:t>
      </w:r>
      <w:r>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hint="eastAsia"/>
          <w:sz w:val="22"/>
        </w:rPr>
        <w:t>eGFR</w:t>
      </w:r>
      <w:r>
        <w:rPr>
          <w:rFonts w:asciiTheme="majorEastAsia" w:eastAsiaTheme="majorEastAsia" w:hAnsiTheme="majorEastAsia" w:hint="eastAsia"/>
          <w:sz w:val="22"/>
        </w:rPr>
        <w:t>の変化（</w:t>
      </w:r>
      <w:r>
        <w:rPr>
          <w:rFonts w:asciiTheme="majorEastAsia" w:eastAsiaTheme="majorEastAsia" w:hAnsiTheme="majorEastAsia" w:hint="eastAsia"/>
          <w:sz w:val="22"/>
        </w:rPr>
        <w:t>1</w:t>
      </w:r>
      <w:r>
        <w:rPr>
          <w:rFonts w:asciiTheme="majorEastAsia" w:eastAsiaTheme="majorEastAsia" w:hAnsiTheme="majorEastAsia" w:hint="eastAsia"/>
          <w:sz w:val="22"/>
        </w:rPr>
        <w:t>年で</w:t>
      </w:r>
      <w:r>
        <w:rPr>
          <w:rFonts w:asciiTheme="majorEastAsia" w:eastAsiaTheme="majorEastAsia" w:hAnsiTheme="majorEastAsia" w:hint="eastAsia"/>
          <w:sz w:val="22"/>
        </w:rPr>
        <w:t>25</w:t>
      </w:r>
      <w:r>
        <w:rPr>
          <w:rFonts w:asciiTheme="majorEastAsia" w:eastAsiaTheme="majorEastAsia" w:hAnsiTheme="majorEastAsia" w:hint="eastAsia"/>
          <w:sz w:val="22"/>
        </w:rPr>
        <w:t>％以上の低下、</w:t>
      </w:r>
      <w:r>
        <w:rPr>
          <w:rFonts w:asciiTheme="majorEastAsia" w:eastAsiaTheme="majorEastAsia" w:hAnsiTheme="majorEastAsia" w:hint="eastAsia"/>
          <w:sz w:val="22"/>
        </w:rPr>
        <w:t>1</w:t>
      </w:r>
      <w:r>
        <w:rPr>
          <w:rFonts w:asciiTheme="majorEastAsia" w:eastAsiaTheme="majorEastAsia" w:hAnsiTheme="majorEastAsia" w:hint="eastAsia"/>
          <w:sz w:val="22"/>
        </w:rPr>
        <w:t>年で５</w:t>
      </w:r>
      <w:r>
        <w:rPr>
          <w:rFonts w:asciiTheme="majorEastAsia" w:eastAsiaTheme="majorEastAsia" w:hAnsiTheme="majorEastAsia" w:hint="eastAsia"/>
          <w:sz w:val="22"/>
        </w:rPr>
        <w:t>ml/1.73</w:t>
      </w:r>
      <w:r>
        <w:rPr>
          <w:rFonts w:asciiTheme="majorEastAsia" w:eastAsiaTheme="majorEastAsia" w:hAnsiTheme="majorEastAsia" w:hint="eastAsia"/>
          <w:sz w:val="22"/>
        </w:rPr>
        <w:t>㎡以上低下）</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○尿蛋白の変化</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○服薬状況の変化</w:t>
      </w:r>
    </w:p>
    <w:p w:rsidR="00584782" w:rsidRDefault="00584782">
      <w:pPr>
        <w:rPr>
          <w:rFonts w:asciiTheme="majorEastAsia" w:eastAsiaTheme="majorEastAsia" w:hAnsiTheme="majorEastAsia"/>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hint="eastAsia"/>
          <w:sz w:val="22"/>
        </w:rPr>
        <w:t>56</w:t>
      </w:r>
      <w:r>
        <w:rPr>
          <w:rFonts w:ascii="ＭＳ Ｐゴシック" w:eastAsia="ＭＳ Ｐゴシック" w:hAnsi="ＭＳ Ｐゴシック" w:hint="eastAsia"/>
          <w:sz w:val="22"/>
        </w:rPr>
        <w:t xml:space="preserve">　糖尿病性腎症重症化予防の取組評価</w:t>
      </w:r>
    </w:p>
    <w:p w:rsidR="00584782" w:rsidRDefault="003A4011">
      <w:pPr>
        <w:rPr>
          <w:rFonts w:ascii="ＭＳ Ｐゴシック" w:eastAsia="ＭＳ Ｐゴシック" w:hAnsi="ＭＳ Ｐゴシック"/>
          <w:sz w:val="22"/>
        </w:rPr>
      </w:pPr>
      <w:r>
        <w:rPr>
          <w:rFonts w:hint="eastAsia"/>
          <w:noProof/>
        </w:rPr>
        <mc:AlternateContent>
          <mc:Choice Requires="wps">
            <w:drawing>
              <wp:anchor distT="0" distB="0" distL="114300" distR="114300" simplePos="0" relativeHeight="3" behindDoc="0" locked="0" layoutInCell="1" hidden="0" allowOverlap="1">
                <wp:simplePos x="0" y="0"/>
                <wp:positionH relativeFrom="column">
                  <wp:posOffset>7737475</wp:posOffset>
                </wp:positionH>
                <wp:positionV relativeFrom="paragraph">
                  <wp:posOffset>538480</wp:posOffset>
                </wp:positionV>
                <wp:extent cx="790575" cy="390525"/>
                <wp:effectExtent l="0" t="0" r="635" b="635"/>
                <wp:wrapNone/>
                <wp:docPr id="1091" name="テキスト ボックス 99"/>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rsidR="00584782" w:rsidRDefault="003A4011">
                            <w:pPr>
                              <w:ind w:left="167" w:firstLine="241"/>
                              <w:rPr>
                                <w:rFonts w:ascii="HGPｺﾞｼｯｸM" w:eastAsia="HGPｺﾞｼｯｸM" w:hAnsi="HGPｺﾞｼｯｸM"/>
                                <w:b/>
                                <w:sz w:val="24"/>
                              </w:rPr>
                            </w:pPr>
                            <w:r>
                              <w:rPr>
                                <w:rFonts w:ascii="HGPｺﾞｼｯｸM" w:eastAsia="HGPｺﾞｼｯｸM" w:hAnsi="HGPｺﾞｼｯｸM" w:hint="eastAsia"/>
                                <w:b/>
                                <w:sz w:val="24"/>
                              </w:rPr>
                              <w:t>(</w:t>
                            </w:r>
                            <w:r>
                              <w:rPr>
                                <w:rFonts w:ascii="HGPｺﾞｼｯｸM" w:eastAsia="HGPｺﾞｼｯｸM" w:hAnsi="HGPｺﾞｼｯｸM" w:hint="eastAsia"/>
                                <w:b/>
                                <w:sz w:val="24"/>
                              </w:rPr>
                              <w:t>図○</w:t>
                            </w:r>
                            <w:r>
                              <w:rPr>
                                <w:rFonts w:ascii="HGPｺﾞｼｯｸM" w:eastAsia="HGPｺﾞｼｯｸM" w:hAnsi="HGPｺﾞｼｯｸM" w:hint="eastAsia"/>
                                <w:b/>
                                <w:sz w:val="24"/>
                              </w:rPr>
                              <w:t>)</w:t>
                            </w:r>
                          </w:p>
                        </w:txbxContent>
                      </wps:txbx>
                      <wps:bodyPr rot="0" vertOverflow="overflow" horzOverflow="overflow" wrap="square" numCol="1" spcCol="0" rtlCol="0" fromWordArt="0" anchor="t"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99" style="mso-position-vertical-relative:text;z-index:3;mso-wrap-distance-left:9pt;width:62.25pt;height:30.75pt;mso-position-horizontal-relative:text;position:absolute;margin-left:609.25pt;margin-top:42.4pt;mso-wrap-distance-bottom:0pt;mso-wrap-distance-right:9pt;mso-wrap-distance-top:0pt;v-text-anchor:top;" o:spid="_x0000_s1091" o:allowincell="t" o:allowoverlap="t" filled="f" stroked="f" strokeweight="0.5pt" o:spt="202" type="#_x0000_t202">
                <v:fill/>
                <v:textbox style="layout-flow:horizontal;">
                  <w:txbxContent>
                    <w:p>
                      <w:pPr>
                        <w:pStyle w:val="0"/>
                        <w:ind w:left="167" w:firstLine="241"/>
                        <w:rPr>
                          <w:rFonts w:hint="default" w:ascii="HGPｺﾞｼｯｸM" w:hAnsi="HGPｺﾞｼｯｸM" w:eastAsia="HGPｺﾞｼｯｸM"/>
                          <w:b w:val="1"/>
                          <w:sz w:val="24"/>
                        </w:rPr>
                      </w:pPr>
                      <w:r>
                        <w:rPr>
                          <w:rFonts w:hint="eastAsia" w:ascii="HGPｺﾞｼｯｸM" w:hAnsi="HGPｺﾞｼｯｸM" w:eastAsia="HGPｺﾞｼｯｸM"/>
                          <w:b w:val="1"/>
                          <w:sz w:val="24"/>
                        </w:rPr>
                        <w:t>(</w:t>
                      </w:r>
                      <w:r>
                        <w:rPr>
                          <w:rFonts w:hint="eastAsia" w:ascii="HGPｺﾞｼｯｸM" w:hAnsi="HGPｺﾞｼｯｸM" w:eastAsia="HGPｺﾞｼｯｸM"/>
                          <w:b w:val="1"/>
                          <w:sz w:val="24"/>
                        </w:rPr>
                        <w:t>図○</w:t>
                      </w:r>
                      <w:r>
                        <w:rPr>
                          <w:rFonts w:hint="eastAsia" w:ascii="HGPｺﾞｼｯｸM" w:hAnsi="HGPｺﾞｼｯｸM" w:eastAsia="HGPｺﾞｼｯｸM"/>
                          <w:b w:val="1"/>
                          <w:sz w:val="24"/>
                        </w:rPr>
                        <w:t>)</w:t>
                      </w:r>
                    </w:p>
                  </w:txbxContent>
                </v:textbox>
                <v:imagedata o:title=""/>
                <w10:wrap type="none" anchorx="text" anchory="text"/>
              </v:shape>
            </w:pict>
          </mc:Fallback>
        </mc:AlternateContent>
      </w:r>
      <w:r>
        <w:rPr>
          <w:rFonts w:hint="eastAsia"/>
          <w:noProof/>
        </w:rPr>
        <w:drawing>
          <wp:inline distT="0" distB="0" distL="203200" distR="203200">
            <wp:extent cx="6067425" cy="8331200"/>
            <wp:effectExtent l="0" t="0" r="0" b="0"/>
            <wp:docPr id="1092" name="オブジェクト 0"/>
            <wp:cNvGraphicFramePr/>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68"/>
                    <a:stretch>
                      <a:fillRect/>
                    </a:stretch>
                  </pic:blipFill>
                  <pic:spPr>
                    <a:xfrm>
                      <a:off x="0" y="0"/>
                      <a:ext cx="6067425" cy="8331200"/>
                    </a:xfrm>
                    <a:prstGeom prst="rect">
                      <a:avLst/>
                    </a:prstGeom>
                  </pic:spPr>
                </pic:pic>
              </a:graphicData>
            </a:graphic>
          </wp:inline>
        </w:drawing>
      </w:r>
    </w:p>
    <w:p w:rsidR="00584782" w:rsidRDefault="003A4011">
      <w:pPr>
        <w:ind w:firstLineChars="4100" w:firstLine="7380"/>
        <w:rPr>
          <w:rFonts w:ascii="HGPｺﾞｼｯｸM" w:eastAsia="HGPｺﾞｼｯｸM" w:hAnsi="HGPｺﾞｼｯｸM"/>
        </w:rPr>
      </w:pPr>
      <w:r>
        <w:rPr>
          <w:rFonts w:asciiTheme="majorEastAsia" w:eastAsiaTheme="majorEastAsia" w:hAnsiTheme="majorEastAsia" w:hint="eastAsia"/>
          <w:sz w:val="18"/>
        </w:rPr>
        <w:t>出典・参照：</w:t>
      </w:r>
      <w:r>
        <w:rPr>
          <w:rFonts w:asciiTheme="majorEastAsia" w:eastAsiaTheme="majorEastAsia" w:hAnsiTheme="majorEastAsia" w:hint="eastAsia"/>
          <w:sz w:val="18"/>
        </w:rPr>
        <w:t>KDB</w:t>
      </w:r>
      <w:r>
        <w:rPr>
          <w:rFonts w:asciiTheme="majorEastAsia" w:eastAsiaTheme="majorEastAsia" w:hAnsiTheme="majorEastAsia" w:hint="eastAsia"/>
          <w:sz w:val="18"/>
        </w:rPr>
        <w:t>ｼｽﾃﾑ改変</w:t>
      </w:r>
      <w:r>
        <w:rPr>
          <w:rFonts w:asciiTheme="majorEastAsia" w:eastAsiaTheme="majorEastAsia" w:hAnsiTheme="majorEastAsia"/>
          <w:sz w:val="18"/>
        </w:rPr>
        <w:t xml:space="preserve"> </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lastRenderedPageBreak/>
        <w:t>７）　実施期間及びスケジュール</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月　対象者の選定基準の決定</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5</w:t>
      </w:r>
      <w:r>
        <w:rPr>
          <w:rFonts w:ascii="ＭＳ Ｐゴシック" w:eastAsia="ＭＳ Ｐゴシック" w:hAnsi="ＭＳ Ｐゴシック" w:hint="eastAsia"/>
          <w:sz w:val="22"/>
        </w:rPr>
        <w:t>月　対象者の抽出（概数の試算）、介入方法、実施方法の決定</w:t>
      </w:r>
    </w:p>
    <w:p w:rsidR="00584782" w:rsidRDefault="003A4011">
      <w:pPr>
        <w:rPr>
          <w:rFonts w:asciiTheme="majorEastAsia" w:eastAsiaTheme="majorEastAsia" w:hAnsiTheme="majorEastAsia"/>
          <w:sz w:val="22"/>
        </w:rPr>
      </w:pPr>
      <w:r>
        <w:rPr>
          <w:rFonts w:ascii="ＭＳ Ｐゴシック" w:eastAsia="ＭＳ Ｐゴシック" w:hAnsi="ＭＳ Ｐゴシック" w:hint="eastAsia"/>
          <w:sz w:val="22"/>
        </w:rPr>
        <w:t>5</w:t>
      </w:r>
      <w:r>
        <w:rPr>
          <w:rFonts w:ascii="ＭＳ Ｐゴシック" w:eastAsia="ＭＳ Ｐゴシック" w:hAnsi="ＭＳ Ｐゴシック" w:hint="eastAsia"/>
          <w:sz w:val="22"/>
        </w:rPr>
        <w:t>月～特定健診結果が届き次第糖尿病管理台帳に記載。台帳記載後順次、対象者へ介入（通年</w:t>
      </w:r>
      <w:r>
        <w:rPr>
          <w:rFonts w:asciiTheme="majorEastAsia" w:eastAsiaTheme="majorEastAsia" w:hAnsiTheme="majorEastAsia" w:hint="eastAsia"/>
          <w:sz w:val="22"/>
        </w:rPr>
        <w:t>）</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57</w:t>
      </w:r>
      <w:r>
        <w:rPr>
          <w:rFonts w:ascii="ＭＳ Ｐゴシック" w:eastAsia="ＭＳ Ｐゴシック" w:hAnsi="ＭＳ Ｐゴシック" w:hint="eastAsia"/>
          <w:sz w:val="22"/>
        </w:rPr>
        <w:t xml:space="preserve">　重症化対象者に保健指導するまでのスケジュール</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849620" cy="2966085"/>
            <wp:effectExtent l="0" t="0" r="0" b="0"/>
            <wp:docPr id="1093" name="オブジェクト 0"/>
            <wp:cNvGraphicFramePr/>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69"/>
                    <a:stretch>
                      <a:fillRect/>
                    </a:stretch>
                  </pic:blipFill>
                  <pic:spPr>
                    <a:xfrm>
                      <a:off x="0" y="0"/>
                      <a:ext cx="5849620" cy="2966085"/>
                    </a:xfrm>
                    <a:prstGeom prst="rect">
                      <a:avLst/>
                    </a:prstGeom>
                  </pic:spPr>
                </pic:pic>
              </a:graphicData>
            </a:graphic>
          </wp:inline>
        </w:drawing>
      </w: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ＭＳ Ｐゴシック" w:eastAsia="ＭＳ Ｐゴシック" w:hAnsi="ＭＳ Ｐゴシック"/>
          <w:b/>
          <w:sz w:val="32"/>
        </w:rPr>
      </w:pPr>
    </w:p>
    <w:p w:rsidR="00584782" w:rsidRDefault="003A4011">
      <w:pPr>
        <w:rPr>
          <w:rFonts w:ascii="ＭＳ Ｐゴシック" w:eastAsia="ＭＳ Ｐゴシック" w:hAnsi="ＭＳ Ｐゴシック"/>
          <w:b/>
          <w:sz w:val="32"/>
        </w:rPr>
      </w:pPr>
      <w:r>
        <w:rPr>
          <w:rFonts w:ascii="ＭＳ Ｐゴシック" w:eastAsia="ＭＳ Ｐゴシック" w:hAnsi="ＭＳ Ｐゴシック" w:hint="eastAsia"/>
          <w:b/>
          <w:sz w:val="32"/>
        </w:rPr>
        <w:lastRenderedPageBreak/>
        <w:t>２．肥満・メタボリックシンドローム重症化予防</w:t>
      </w:r>
    </w:p>
    <w:p w:rsidR="00584782" w:rsidRDefault="003A4011">
      <w:pPr>
        <w:rPr>
          <w:rFonts w:asciiTheme="majorEastAsia" w:eastAsiaTheme="majorEastAsia" w:hAnsiTheme="majorEastAsia"/>
          <w:sz w:val="28"/>
        </w:rPr>
      </w:pPr>
      <w:r>
        <w:rPr>
          <w:rFonts w:asciiTheme="majorEastAsia" w:eastAsiaTheme="majorEastAsia" w:hAnsiTheme="majorEastAsia" w:hint="eastAsia"/>
          <w:sz w:val="28"/>
        </w:rPr>
        <w:t>1</w:t>
      </w:r>
      <w:r>
        <w:rPr>
          <w:rFonts w:asciiTheme="majorEastAsia" w:eastAsiaTheme="majorEastAsia" w:hAnsiTheme="majorEastAsia" w:hint="eastAsia"/>
          <w:sz w:val="28"/>
        </w:rPr>
        <w:t>）基本的な考え方</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メタボリックシンドロームはインスリン抵抗性、動脈硬化惹起性リポ蛋白異常、血圧高値を個人に合併する心血管病易発症状態であります。</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メタボリックシンドロームを疾患概念として確立する目的は、飽食と運動不足によって生じる過栄養を基盤に益々増加してきた心血管病に対して効率の良い予防対策を確立することであ。従ってメタボリックシンドロームの第</w:t>
      </w:r>
      <w:r>
        <w:rPr>
          <w:rFonts w:asciiTheme="majorEastAsia" w:eastAsiaTheme="majorEastAsia" w:hAnsiTheme="majorEastAsia" w:hint="eastAsia"/>
          <w:sz w:val="22"/>
        </w:rPr>
        <w:t>1</w:t>
      </w:r>
      <w:r>
        <w:rPr>
          <w:rFonts w:asciiTheme="majorEastAsia" w:eastAsiaTheme="majorEastAsia" w:hAnsiTheme="majorEastAsia" w:hint="eastAsia"/>
          <w:sz w:val="22"/>
        </w:rPr>
        <w:t>の臨床的帰結は心血管病であり、診断は心血管病予防のためにおこなう。また、メタボリックシンドロームは</w:t>
      </w:r>
      <w:r>
        <w:rPr>
          <w:rFonts w:asciiTheme="majorEastAsia" w:eastAsiaTheme="majorEastAsia" w:hAnsiTheme="majorEastAsia" w:hint="eastAsia"/>
          <w:sz w:val="22"/>
        </w:rPr>
        <w:t>2</w:t>
      </w:r>
      <w:r>
        <w:rPr>
          <w:rFonts w:asciiTheme="majorEastAsia" w:eastAsiaTheme="majorEastAsia" w:hAnsiTheme="majorEastAsia" w:hint="eastAsia"/>
          <w:sz w:val="22"/>
        </w:rPr>
        <w:t>型糖尿病発症のリスクも高いとされており、本診断基準を用いた保健指導が現在我が国で急増している</w:t>
      </w:r>
      <w:r>
        <w:rPr>
          <w:rFonts w:asciiTheme="majorEastAsia" w:eastAsiaTheme="majorEastAsia" w:hAnsiTheme="majorEastAsia" w:hint="eastAsia"/>
          <w:sz w:val="22"/>
        </w:rPr>
        <w:t>2</w:t>
      </w:r>
      <w:r>
        <w:rPr>
          <w:rFonts w:asciiTheme="majorEastAsia" w:eastAsiaTheme="majorEastAsia" w:hAnsiTheme="majorEastAsia" w:hint="eastAsia"/>
          <w:sz w:val="22"/>
        </w:rPr>
        <w:t>型糖尿病予防さらには糖尿病性大血管症の予防にも適用しうれば望ましい。」（メタボリックシンドロームの定義と診断基準</w:t>
      </w:r>
      <w:r>
        <w:rPr>
          <w:rFonts w:asciiTheme="majorEastAsia" w:eastAsiaTheme="majorEastAsia" w:hAnsiTheme="majorEastAsia" w:hint="eastAsia"/>
          <w:sz w:val="22"/>
        </w:rPr>
        <w:t>より）</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なお、取組みにあたっては図表</w:t>
      </w:r>
      <w:r>
        <w:rPr>
          <w:rFonts w:asciiTheme="majorEastAsia" w:eastAsiaTheme="majorEastAsia" w:hAnsiTheme="majorEastAsia" w:hint="eastAsia"/>
          <w:sz w:val="22"/>
        </w:rPr>
        <w:t>58</w:t>
      </w:r>
      <w:r>
        <w:rPr>
          <w:rFonts w:asciiTheme="majorEastAsia" w:eastAsiaTheme="majorEastAsia" w:hAnsiTheme="majorEastAsia" w:hint="eastAsia"/>
          <w:sz w:val="22"/>
        </w:rPr>
        <w:t>に基づいて考えていきます。</w:t>
      </w: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Theme="majorEastAsia" w:eastAsiaTheme="majorEastAsia" w:hAnsiTheme="majorEastAsia"/>
          <w:sz w:val="22"/>
        </w:rPr>
      </w:pPr>
      <w:r>
        <w:rPr>
          <w:rFonts w:hint="eastAsia"/>
          <w:noProof/>
        </w:rPr>
        <w:drawing>
          <wp:anchor distT="0" distB="0" distL="114300" distR="114300" simplePos="0" relativeHeight="14" behindDoc="0" locked="0" layoutInCell="1" hidden="0" allowOverlap="1">
            <wp:simplePos x="0" y="0"/>
            <wp:positionH relativeFrom="column">
              <wp:posOffset>4445</wp:posOffset>
            </wp:positionH>
            <wp:positionV relativeFrom="paragraph">
              <wp:posOffset>299720</wp:posOffset>
            </wp:positionV>
            <wp:extent cx="6064885" cy="4010025"/>
            <wp:effectExtent l="0" t="0" r="0" b="0"/>
            <wp:wrapTopAndBottom/>
            <wp:docPr id="1094" name="Picture 5"/>
            <wp:cNvGraphicFramePr/>
            <a:graphic xmlns:a="http://schemas.openxmlformats.org/drawingml/2006/main">
              <a:graphicData uri="http://schemas.openxmlformats.org/drawingml/2006/picture">
                <pic:pic xmlns:pic="http://schemas.openxmlformats.org/drawingml/2006/picture">
                  <pic:nvPicPr>
                    <pic:cNvPr id="1094" name="Picture 5"/>
                    <pic:cNvPicPr>
                      <a:picLocks noChangeAspect="1" noChangeArrowheads="1"/>
                    </pic:cNvPicPr>
                  </pic:nvPicPr>
                  <pic:blipFill>
                    <a:blip r:embed="rId70"/>
                    <a:srcRect b="4506"/>
                    <a:stretch>
                      <a:fillRect/>
                    </a:stretch>
                  </pic:blipFill>
                  <pic:spPr>
                    <a:xfrm>
                      <a:off x="0" y="0"/>
                      <a:ext cx="6064885" cy="4010025"/>
                    </a:xfrm>
                    <a:prstGeom prst="rect">
                      <a:avLst/>
                    </a:prstGeom>
                    <a:noFill/>
                    <a:ln>
                      <a:noFill/>
                    </a:ln>
                  </pic:spPr>
                </pic:pic>
              </a:graphicData>
            </a:graphic>
          </wp:anchor>
        </w:drawing>
      </w:r>
      <w:r>
        <w:rPr>
          <w:rFonts w:asciiTheme="majorEastAsia" w:eastAsiaTheme="majorEastAsia" w:hAnsiTheme="majorEastAsia" w:hint="eastAsia"/>
          <w:sz w:val="22"/>
        </w:rPr>
        <w:t>図表</w:t>
      </w:r>
      <w:r>
        <w:rPr>
          <w:rFonts w:asciiTheme="majorEastAsia" w:eastAsiaTheme="majorEastAsia" w:hAnsiTheme="majorEastAsia" w:hint="eastAsia"/>
          <w:sz w:val="22"/>
        </w:rPr>
        <w:t>58</w:t>
      </w:r>
      <w:r>
        <w:rPr>
          <w:rFonts w:asciiTheme="majorEastAsia" w:eastAsiaTheme="majorEastAsia" w:hAnsiTheme="majorEastAsia" w:hint="eastAsia"/>
          <w:sz w:val="22"/>
        </w:rPr>
        <w:t xml:space="preserve">　肥満の問題性を考えるポイントト～沖縄</w:t>
      </w:r>
      <w:r>
        <w:rPr>
          <w:rFonts w:asciiTheme="majorEastAsia" w:eastAsiaTheme="majorEastAsia" w:hAnsiTheme="majorEastAsia" w:hint="eastAsia"/>
          <w:sz w:val="22"/>
        </w:rPr>
        <w:t>Ver.</w:t>
      </w:r>
      <w:r>
        <w:rPr>
          <w:rFonts w:asciiTheme="majorEastAsia" w:eastAsiaTheme="majorEastAsia" w:hAnsiTheme="majorEastAsia" w:hint="eastAsia"/>
          <w:sz w:val="22"/>
        </w:rPr>
        <w:t>～（</w:t>
      </w:r>
      <w:r>
        <w:rPr>
          <w:rFonts w:asciiTheme="majorEastAsia" w:eastAsiaTheme="majorEastAsia" w:hAnsiTheme="majorEastAsia" w:hint="eastAsia"/>
          <w:sz w:val="22"/>
        </w:rPr>
        <w:t>R4</w:t>
      </w:r>
      <w:r>
        <w:rPr>
          <w:rFonts w:asciiTheme="majorEastAsia" w:eastAsiaTheme="majorEastAsia" w:hAnsiTheme="majorEastAsia" w:hint="eastAsia"/>
          <w:sz w:val="22"/>
        </w:rPr>
        <w:t>沖・食</w:t>
      </w:r>
      <w:r>
        <w:rPr>
          <w:rFonts w:asciiTheme="majorEastAsia" w:eastAsiaTheme="majorEastAsia" w:hAnsiTheme="majorEastAsia" w:hint="eastAsia"/>
          <w:sz w:val="22"/>
        </w:rPr>
        <w:t>-6</w:t>
      </w:r>
      <w:r>
        <w:rPr>
          <w:rFonts w:asciiTheme="majorEastAsia" w:eastAsiaTheme="majorEastAsia" w:hAnsiTheme="majorEastAsia" w:hint="eastAsia"/>
          <w:sz w:val="22"/>
        </w:rPr>
        <w:t>）</w:t>
      </w:r>
    </w:p>
    <w:p w:rsidR="00584782" w:rsidRDefault="003A4011">
      <w:pPr>
        <w:ind w:right="-2"/>
        <w:jc w:val="right"/>
        <w:rPr>
          <w:rFonts w:asciiTheme="majorEastAsia" w:eastAsiaTheme="majorEastAsia" w:hAnsiTheme="majorEastAsia"/>
          <w:sz w:val="16"/>
        </w:rPr>
      </w:pPr>
      <w:bookmarkStart w:id="1" w:name="_Hlk135987260"/>
      <w:r>
        <w:rPr>
          <w:rFonts w:asciiTheme="majorEastAsia" w:eastAsiaTheme="majorEastAsia" w:hAnsiTheme="majorEastAsia" w:hint="eastAsia"/>
          <w:sz w:val="16"/>
        </w:rPr>
        <w:t>出典：令和４年度版　沖縄　食ノート　肥満を解決するための食の資料</w:t>
      </w:r>
      <w:r>
        <w:rPr>
          <w:rFonts w:asciiTheme="majorEastAsia" w:eastAsiaTheme="majorEastAsia" w:hAnsiTheme="majorEastAsia" w:hint="eastAsia"/>
          <w:sz w:val="16"/>
        </w:rPr>
        <w:t>Ver.3</w:t>
      </w:r>
    </w:p>
    <w:p w:rsidR="00584782" w:rsidRDefault="003A4011">
      <w:pPr>
        <w:ind w:right="-2"/>
        <w:jc w:val="right"/>
        <w:rPr>
          <w:rFonts w:asciiTheme="majorEastAsia" w:eastAsiaTheme="majorEastAsia" w:hAnsiTheme="majorEastAsia"/>
          <w:sz w:val="16"/>
        </w:rPr>
      </w:pPr>
      <w:r>
        <w:rPr>
          <w:rFonts w:asciiTheme="majorEastAsia" w:eastAsiaTheme="majorEastAsia" w:hAnsiTheme="majorEastAsia" w:hint="eastAsia"/>
          <w:sz w:val="16"/>
        </w:rPr>
        <w:t>（沖縄県ヘルスアップ支援事業）</w:t>
      </w:r>
    </w:p>
    <w:p w:rsidR="00584782" w:rsidRDefault="00584782">
      <w:pPr>
        <w:rPr>
          <w:rFonts w:asciiTheme="majorEastAsia" w:eastAsiaTheme="majorEastAsia" w:hAnsiTheme="majorEastAsia"/>
          <w:b/>
          <w:sz w:val="22"/>
        </w:rPr>
      </w:pPr>
    </w:p>
    <w:p w:rsidR="00584782" w:rsidRDefault="00584782">
      <w:pPr>
        <w:rPr>
          <w:rFonts w:asciiTheme="majorEastAsia" w:eastAsiaTheme="majorEastAsia" w:hAnsiTheme="majorEastAsia"/>
          <w:b/>
          <w:sz w:val="22"/>
        </w:rPr>
      </w:pPr>
    </w:p>
    <w:p w:rsidR="00584782" w:rsidRDefault="00584782">
      <w:pPr>
        <w:rPr>
          <w:rFonts w:ascii="ＭＳ Ｐゴシック" w:eastAsia="ＭＳ Ｐゴシック" w:hAnsi="ＭＳ Ｐゴシック"/>
          <w:sz w:val="28"/>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lastRenderedPageBreak/>
        <w:t>２）肥満の状況</w:t>
      </w:r>
      <w:bookmarkEnd w:id="1"/>
    </w:p>
    <w:p w:rsidR="00584782" w:rsidRDefault="003A4011">
      <w:pPr>
        <w:rPr>
          <w:rFonts w:asciiTheme="majorEastAsia" w:eastAsiaTheme="majorEastAsia" w:hAnsiTheme="majorEastAsia"/>
          <w:sz w:val="22"/>
        </w:rPr>
      </w:pPr>
      <w:r>
        <w:rPr>
          <w:rFonts w:ascii="ＭＳ Ｐゴシック" w:eastAsia="ＭＳ Ｐゴシック" w:hAnsi="ＭＳ Ｐゴシック" w:hint="eastAsia"/>
          <w:sz w:val="22"/>
        </w:rPr>
        <w:t xml:space="preserve">（１）　</w:t>
      </w:r>
      <w:r>
        <w:rPr>
          <w:rFonts w:asciiTheme="majorEastAsia" w:eastAsiaTheme="majorEastAsia" w:hAnsiTheme="majorEastAsia" w:hint="eastAsia"/>
          <w:sz w:val="22"/>
        </w:rPr>
        <w:t>肥満度分類に基づき、実態把握をします。</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図表</w:t>
      </w:r>
      <w:r>
        <w:rPr>
          <w:rFonts w:asciiTheme="majorEastAsia" w:eastAsiaTheme="majorEastAsia" w:hAnsiTheme="majorEastAsia" w:hint="eastAsia"/>
          <w:sz w:val="22"/>
        </w:rPr>
        <w:t>59</w:t>
      </w:r>
      <w:r>
        <w:rPr>
          <w:rFonts w:asciiTheme="majorEastAsia" w:eastAsiaTheme="majorEastAsia" w:hAnsiTheme="majorEastAsia" w:hint="eastAsia"/>
          <w:sz w:val="22"/>
        </w:rPr>
        <w:t xml:space="preserve">　肥満度分類による実態</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3615" cy="2068195"/>
            <wp:effectExtent l="0" t="0" r="0" b="0"/>
            <wp:docPr id="1095" name="オブジェクト 0"/>
            <wp:cNvGraphicFramePr/>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71"/>
                    <a:stretch>
                      <a:fillRect/>
                    </a:stretch>
                  </pic:blipFill>
                  <pic:spPr>
                    <a:xfrm>
                      <a:off x="0" y="0"/>
                      <a:ext cx="6063615" cy="2068195"/>
                    </a:xfrm>
                    <a:prstGeom prst="rect">
                      <a:avLst/>
                    </a:prstGeom>
                  </pic:spPr>
                </pic:pic>
              </a:graphicData>
            </a:graphic>
          </wp:inline>
        </w:drawing>
      </w:r>
    </w:p>
    <w:p w:rsidR="00584782" w:rsidRDefault="003A4011">
      <w:pPr>
        <w:jc w:val="right"/>
        <w:rPr>
          <w:rFonts w:asciiTheme="majorEastAsia" w:eastAsiaTheme="majorEastAsia" w:hAnsiTheme="majorEastAsia"/>
          <w:sz w:val="22"/>
        </w:rPr>
      </w:pPr>
      <w:r>
        <w:rPr>
          <w:rFonts w:asciiTheme="majorEastAsia" w:eastAsiaTheme="majorEastAsia" w:hAnsiTheme="majorEastAsia" w:hint="eastAsia"/>
          <w:sz w:val="18"/>
        </w:rPr>
        <w:t>出典・参照：特定健診等ﾃﾞｰﾀ管理ｼｽﾃﾑ</w:t>
      </w:r>
    </w:p>
    <w:p w:rsidR="00584782" w:rsidRDefault="00584782">
      <w:pPr>
        <w:rPr>
          <w:rFonts w:asciiTheme="majorEastAsia" w:eastAsiaTheme="majorEastAsia" w:hAnsiTheme="majorEastAsia"/>
          <w:sz w:val="22"/>
        </w:rPr>
      </w:pP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（２）優先順位をつけます。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肥満を解決するためには、どの年齢・どの段階が改善しやすいのか、効率がいいのかを科学的な根拠（ＥＢＭ）「肥満症診療ガイドライン</w:t>
      </w:r>
      <w:r>
        <w:rPr>
          <w:rFonts w:ascii="ＭＳ Ｐゴシック" w:eastAsia="ＭＳ Ｐゴシック" w:hAnsi="ＭＳ Ｐゴシック" w:hint="eastAsia"/>
          <w:sz w:val="22"/>
        </w:rPr>
        <w:t>2022</w:t>
      </w:r>
      <w:r>
        <w:rPr>
          <w:rFonts w:ascii="ＭＳ Ｐゴシック" w:eastAsia="ＭＳ Ｐゴシック" w:hAnsi="ＭＳ Ｐゴシック" w:hint="eastAsia"/>
          <w:sz w:val="22"/>
        </w:rPr>
        <w:t>」に基づき、優先順位をつけます。</w:t>
      </w:r>
    </w:p>
    <w:p w:rsidR="00584782" w:rsidRDefault="003A4011">
      <w:pPr>
        <w:pStyle w:val="a3"/>
        <w:numPr>
          <w:ilvl w:val="0"/>
          <w:numId w:val="8"/>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肥満を解決するためには、どの年代、どの段階が改善しやすいのかを考えます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60</w:t>
      </w:r>
      <w:r>
        <w:rPr>
          <w:rFonts w:ascii="ＭＳ Ｐゴシック" w:eastAsia="ＭＳ Ｐゴシック" w:hAnsi="ＭＳ Ｐゴシック" w:hint="eastAsia"/>
          <w:sz w:val="22"/>
        </w:rPr>
        <w:t xml:space="preserve">　肥満を解決するために　どの年齢、どの段階が改善しやすいか？</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89650" cy="2990850"/>
            <wp:effectExtent l="0" t="0" r="0" b="0"/>
            <wp:docPr id="1096" name="オブジェクト 0"/>
            <wp:cNvGraphicFramePr/>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72"/>
                    <a:stretch>
                      <a:fillRect/>
                    </a:stretch>
                  </pic:blipFill>
                  <pic:spPr>
                    <a:xfrm>
                      <a:off x="0" y="0"/>
                      <a:ext cx="6089650" cy="2990850"/>
                    </a:xfrm>
                    <a:prstGeom prst="rect">
                      <a:avLst/>
                    </a:prstGeom>
                  </pic:spPr>
                </pic:pic>
              </a:graphicData>
            </a:graphic>
          </wp:inline>
        </w:drawing>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Theme="majorEastAsia" w:eastAsiaTheme="majorEastAsia" w:hAnsiTheme="majorEastAsia" w:hint="eastAsia"/>
          <w:sz w:val="22"/>
        </w:rPr>
        <w:t xml:space="preserve">　　</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lastRenderedPageBreak/>
        <w:t>②保健指導を実施した時の住民の声</w:t>
      </w:r>
      <w:r>
        <w:rPr>
          <w:rFonts w:asciiTheme="majorEastAsia" w:eastAsiaTheme="majorEastAsia" w:hAnsiTheme="majorEastAsia" w:hint="eastAsia"/>
          <w:sz w:val="22"/>
        </w:rPr>
        <w:t>(</w:t>
      </w:r>
      <w:r>
        <w:rPr>
          <w:rFonts w:asciiTheme="majorEastAsia" w:eastAsiaTheme="majorEastAsia" w:hAnsiTheme="majorEastAsia" w:hint="eastAsia"/>
          <w:sz w:val="22"/>
        </w:rPr>
        <w:t>意識</w:t>
      </w:r>
      <w:r>
        <w:rPr>
          <w:rFonts w:asciiTheme="majorEastAsia" w:eastAsiaTheme="majorEastAsia" w:hAnsiTheme="majorEastAsia" w:hint="eastAsia"/>
          <w:sz w:val="22"/>
        </w:rPr>
        <w:t>)</w:t>
      </w:r>
      <w:r>
        <w:rPr>
          <w:rFonts w:asciiTheme="majorEastAsia" w:eastAsiaTheme="majorEastAsia" w:hAnsiTheme="majorEastAsia" w:hint="eastAsia"/>
          <w:sz w:val="22"/>
        </w:rPr>
        <w:t>から「日常生活」で困っていることを教えてもらいました。</w:t>
      </w:r>
    </w:p>
    <w:p w:rsidR="00584782" w:rsidRDefault="00584782">
      <w:pPr>
        <w:spacing w:line="240" w:lineRule="exact"/>
        <w:rPr>
          <w:rFonts w:asciiTheme="majorEastAsia" w:eastAsiaTheme="majorEastAsia" w:hAnsiTheme="majorEastAsia"/>
          <w:sz w:val="22"/>
        </w:rPr>
      </w:pPr>
    </w:p>
    <w:p w:rsidR="00584782" w:rsidRDefault="003A4011">
      <w:pPr>
        <w:ind w:firstLineChars="100" w:firstLine="220"/>
        <w:rPr>
          <w:rFonts w:ascii="ＭＳ Ｐゴシック" w:eastAsia="ＭＳ Ｐゴシック" w:hAnsi="ＭＳ Ｐゴシック"/>
          <w:sz w:val="20"/>
        </w:rPr>
      </w:pPr>
      <w:r>
        <w:rPr>
          <w:rFonts w:ascii="ＭＳ Ｐゴシック" w:eastAsia="ＭＳ Ｐゴシック" w:hAnsi="ＭＳ Ｐゴシック" w:hint="eastAsia"/>
          <w:sz w:val="22"/>
        </w:rPr>
        <w:t>表</w:t>
      </w:r>
      <w:r>
        <w:rPr>
          <w:rFonts w:ascii="ＭＳ Ｐゴシック" w:eastAsia="ＭＳ Ｐゴシック" w:hAnsi="ＭＳ Ｐゴシック" w:hint="eastAsia"/>
          <w:sz w:val="22"/>
        </w:rPr>
        <w:t>61</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0"/>
        </w:rPr>
        <w:t>肥満になると、どんなことに困るのか住民の声から「日常生活」の視点で整理してみる</w:t>
      </w: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R4</w:t>
      </w:r>
      <w:r>
        <w:rPr>
          <w:rFonts w:ascii="ＭＳ Ｐゴシック" w:eastAsia="ＭＳ Ｐゴシック" w:hAnsi="ＭＳ Ｐゴシック" w:hint="eastAsia"/>
          <w:sz w:val="16"/>
        </w:rPr>
        <w:t>沖・治</w:t>
      </w:r>
      <w:r>
        <w:rPr>
          <w:rFonts w:ascii="ＭＳ Ｐゴシック" w:eastAsia="ＭＳ Ｐゴシック" w:hAnsi="ＭＳ Ｐゴシック" w:hint="eastAsia"/>
          <w:sz w:val="16"/>
        </w:rPr>
        <w:t>1-09</w:t>
      </w:r>
      <w:r>
        <w:rPr>
          <w:rFonts w:ascii="ＭＳ Ｐゴシック" w:eastAsia="ＭＳ Ｐゴシック" w:hAnsi="ＭＳ Ｐゴシック" w:hint="eastAsia"/>
          <w:sz w:val="16"/>
        </w:rPr>
        <w:t>）</w:t>
      </w:r>
    </w:p>
    <w:p w:rsidR="00584782" w:rsidRDefault="003A4011">
      <w:pPr>
        <w:ind w:right="880"/>
        <w:rPr>
          <w:rFonts w:ascii="ＭＳ Ｐゴシック" w:eastAsia="ＭＳ Ｐゴシック" w:hAnsi="ＭＳ Ｐゴシック"/>
          <w:sz w:val="22"/>
        </w:rPr>
      </w:pPr>
      <w:r>
        <w:rPr>
          <w:rFonts w:hint="eastAsia"/>
          <w:noProof/>
        </w:rPr>
        <w:drawing>
          <wp:inline distT="0" distB="0" distL="0" distR="0">
            <wp:extent cx="6087110" cy="3162300"/>
            <wp:effectExtent l="0" t="0" r="0" b="0"/>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73"/>
                    <a:srcRect t="3906" b="4292"/>
                    <a:stretch>
                      <a:fillRect/>
                    </a:stretch>
                  </pic:blipFill>
                  <pic:spPr>
                    <a:xfrm>
                      <a:off x="0" y="0"/>
                      <a:ext cx="6087110" cy="3162300"/>
                    </a:xfrm>
                    <a:prstGeom prst="rect">
                      <a:avLst/>
                    </a:prstGeom>
                    <a:noFill/>
                    <a:ln>
                      <a:noFill/>
                    </a:ln>
                  </pic:spPr>
                </pic:pic>
              </a:graphicData>
            </a:graphic>
          </wp:inline>
        </w:drawing>
      </w:r>
    </w:p>
    <w:p w:rsidR="00584782" w:rsidRDefault="003A4011">
      <w:pPr>
        <w:ind w:firstLineChars="100" w:firstLine="160"/>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出典：令和４年度版　なぜ治療が必要なのかを学習するための教材</w:t>
      </w:r>
    </w:p>
    <w:p w:rsidR="00584782" w:rsidRDefault="003A4011">
      <w:pPr>
        <w:ind w:firstLineChars="100" w:firstLine="160"/>
        <w:jc w:val="right"/>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沖縄県ヘルスアップ支援事業</w:t>
      </w:r>
      <w:r>
        <w:rPr>
          <w:rFonts w:ascii="ＭＳ Ｐゴシック" w:eastAsia="ＭＳ Ｐゴシック" w:hAnsi="ＭＳ Ｐゴシック" w:hint="eastAsia"/>
          <w:sz w:val="16"/>
        </w:rPr>
        <w:t>)</w:t>
      </w:r>
    </w:p>
    <w:p w:rsidR="00584782" w:rsidRDefault="00584782">
      <w:pPr>
        <w:ind w:firstLineChars="100" w:firstLine="220"/>
        <w:rPr>
          <w:rFonts w:ascii="ＭＳ Ｐゴシック" w:eastAsia="ＭＳ Ｐゴシック" w:hAnsi="ＭＳ Ｐゴシック"/>
          <w:sz w:val="22"/>
        </w:rPr>
      </w:pP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まず、「肥満症診療ガイドライン</w:t>
      </w:r>
      <w:r>
        <w:rPr>
          <w:rFonts w:ascii="ＭＳ Ｐゴシック" w:eastAsia="ＭＳ Ｐゴシック" w:hAnsi="ＭＳ Ｐゴシック" w:hint="eastAsia"/>
          <w:sz w:val="22"/>
        </w:rPr>
        <w:t>2022</w:t>
      </w:r>
      <w:r>
        <w:rPr>
          <w:rFonts w:ascii="ＭＳ Ｐゴシック" w:eastAsia="ＭＳ Ｐゴシック" w:hAnsi="ＭＳ Ｐゴシック" w:hint="eastAsia"/>
          <w:sz w:val="22"/>
        </w:rPr>
        <w:t>」によると、</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か月以上の内科的治療で体重減少や健康障害の改善が得られない高度肥満症</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肥満</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度・</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度</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は、減量・代謝改善手術を検討し、適応があれば選択肢として提示、内科医、外科医、メンタルヘルスの専門職、麻酔科医、管理栄養士、看護師、理学療法士など多職種の医療者が連携してフォローアップを行う必要がある。そのことは、（図表</w:t>
      </w:r>
      <w:r>
        <w:rPr>
          <w:rFonts w:ascii="ＭＳ Ｐゴシック" w:eastAsia="ＭＳ Ｐゴシック" w:hAnsi="ＭＳ Ｐゴシック" w:hint="eastAsia"/>
          <w:sz w:val="22"/>
        </w:rPr>
        <w:t>61</w:t>
      </w:r>
      <w:r>
        <w:rPr>
          <w:rFonts w:ascii="ＭＳ Ｐゴシック" w:eastAsia="ＭＳ Ｐゴシック" w:hAnsi="ＭＳ Ｐゴシック" w:hint="eastAsia"/>
          <w:sz w:val="22"/>
        </w:rPr>
        <w:t>）の「日常生活」で困っている</w:t>
      </w:r>
      <w:r>
        <w:rPr>
          <w:rFonts w:ascii="ＭＳ Ｐゴシック" w:eastAsia="ＭＳ Ｐゴシック" w:hAnsi="ＭＳ Ｐゴシック" w:hint="eastAsia"/>
          <w:sz w:val="22"/>
        </w:rPr>
        <w:t>住民の声からも深刻です。</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次に（図表</w:t>
      </w:r>
      <w:r>
        <w:rPr>
          <w:rFonts w:asciiTheme="majorEastAsia" w:eastAsiaTheme="majorEastAsia" w:hAnsiTheme="majorEastAsia" w:hint="eastAsia"/>
          <w:sz w:val="22"/>
        </w:rPr>
        <w:t>60</w:t>
      </w:r>
      <w:r>
        <w:rPr>
          <w:rFonts w:asciiTheme="majorEastAsia" w:eastAsiaTheme="majorEastAsia" w:hAnsiTheme="majorEastAsia" w:hint="eastAsia"/>
          <w:sz w:val="22"/>
        </w:rPr>
        <w:t>）をみると、肥満度毎及び年齢が高くなるほど、高血圧、糖尿病の合併する割合が高くなることより、未だ両疾患の発症が</w:t>
      </w:r>
      <w:r>
        <w:rPr>
          <w:rFonts w:asciiTheme="majorEastAsia" w:eastAsiaTheme="majorEastAsia" w:hAnsiTheme="majorEastAsia" w:hint="eastAsia"/>
          <w:sz w:val="22"/>
        </w:rPr>
        <w:t>50%</w:t>
      </w:r>
      <w:r>
        <w:rPr>
          <w:rFonts w:asciiTheme="majorEastAsia" w:eastAsiaTheme="majorEastAsia" w:hAnsiTheme="majorEastAsia" w:hint="eastAsia"/>
          <w:sz w:val="22"/>
        </w:rPr>
        <w:t>に満たない肥満Ⅰ度で、若い年代（</w:t>
      </w:r>
      <w:r>
        <w:rPr>
          <w:rFonts w:asciiTheme="majorEastAsia" w:eastAsiaTheme="majorEastAsia" w:hAnsiTheme="majorEastAsia" w:hint="eastAsia"/>
          <w:sz w:val="22"/>
        </w:rPr>
        <w:t>40</w:t>
      </w:r>
      <w:r>
        <w:rPr>
          <w:rFonts w:asciiTheme="majorEastAsia" w:eastAsiaTheme="majorEastAsia" w:hAnsiTheme="majorEastAsia" w:hint="eastAsia"/>
          <w:sz w:val="22"/>
        </w:rPr>
        <w:t>～</w:t>
      </w:r>
      <w:r>
        <w:rPr>
          <w:rFonts w:asciiTheme="majorEastAsia" w:eastAsiaTheme="majorEastAsia" w:hAnsiTheme="majorEastAsia" w:hint="eastAsia"/>
          <w:sz w:val="22"/>
        </w:rPr>
        <w:t>64</w:t>
      </w:r>
      <w:r>
        <w:rPr>
          <w:rFonts w:asciiTheme="majorEastAsia" w:eastAsiaTheme="majorEastAsia" w:hAnsiTheme="majorEastAsia" w:hint="eastAsia"/>
          <w:sz w:val="22"/>
        </w:rPr>
        <w:t>歳）を対象とすることが効率いいことがわかります。</w:t>
      </w:r>
    </w:p>
    <w:p w:rsidR="00584782" w:rsidRDefault="00584782">
      <w:pPr>
        <w:ind w:rightChars="500" w:right="1050"/>
        <w:rPr>
          <w:rFonts w:ascii="ＭＳ Ｐゴシック" w:eastAsia="ＭＳ Ｐゴシック" w:hAnsi="ＭＳ Ｐゴシック"/>
          <w:color w:val="0070C0"/>
          <w:sz w:val="22"/>
        </w:rPr>
      </w:pPr>
    </w:p>
    <w:p w:rsidR="00584782" w:rsidRDefault="00584782">
      <w:pPr>
        <w:ind w:rightChars="500" w:right="1050"/>
        <w:rPr>
          <w:rFonts w:ascii="ＭＳ Ｐゴシック" w:eastAsia="ＭＳ Ｐゴシック" w:hAnsi="ＭＳ Ｐゴシック"/>
          <w:color w:val="0070C0"/>
          <w:sz w:val="22"/>
        </w:rPr>
      </w:pPr>
    </w:p>
    <w:p w:rsidR="00584782" w:rsidRDefault="00584782">
      <w:pPr>
        <w:ind w:rightChars="500" w:right="1050"/>
        <w:rPr>
          <w:rFonts w:ascii="ＭＳ Ｐゴシック" w:eastAsia="ＭＳ Ｐゴシック" w:hAnsi="ＭＳ Ｐゴシック"/>
          <w:color w:val="0070C0"/>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lastRenderedPageBreak/>
        <w:t>３）対象者の明確化</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63</w:t>
      </w:r>
      <w:r>
        <w:rPr>
          <w:rFonts w:ascii="ＭＳ Ｐゴシック" w:eastAsia="ＭＳ Ｐゴシック" w:hAnsi="ＭＳ Ｐゴシック" w:hint="eastAsia"/>
          <w:sz w:val="22"/>
        </w:rPr>
        <w:t xml:space="preserve">　年代別メタボリック該当者の状況</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31865" cy="2540635"/>
            <wp:effectExtent l="0" t="0" r="0" b="0"/>
            <wp:docPr id="1098" name="オブジェクト 0"/>
            <wp:cNvGraphicFramePr/>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74"/>
                    <a:stretch>
                      <a:fillRect/>
                    </a:stretch>
                  </pic:blipFill>
                  <pic:spPr>
                    <a:xfrm>
                      <a:off x="0" y="0"/>
                      <a:ext cx="6031865" cy="2540635"/>
                    </a:xfrm>
                    <a:prstGeom prst="rect">
                      <a:avLst/>
                    </a:prstGeom>
                  </pic:spPr>
                </pic:pic>
              </a:graphicData>
            </a:graphic>
          </wp:inline>
        </w:drawing>
      </w:r>
    </w:p>
    <w:p w:rsidR="00584782" w:rsidRDefault="003A4011">
      <w:pPr>
        <w:jc w:val="right"/>
        <w:rPr>
          <w:rFonts w:asciiTheme="majorEastAsia" w:eastAsiaTheme="majorEastAsia" w:hAnsiTheme="majorEastAsia"/>
          <w:color w:val="0070C0"/>
          <w:sz w:val="22"/>
        </w:rPr>
      </w:pPr>
      <w:r>
        <w:rPr>
          <w:rFonts w:asciiTheme="majorEastAsia" w:eastAsiaTheme="majorEastAsia" w:hAnsiTheme="majorEastAsia" w:hint="eastAsia"/>
          <w:sz w:val="18"/>
        </w:rPr>
        <w:t>出典・参照：</w:t>
      </w:r>
      <w:r>
        <w:rPr>
          <w:rFonts w:asciiTheme="majorEastAsia" w:eastAsiaTheme="majorEastAsia" w:hAnsiTheme="majorEastAsia" w:hint="eastAsia"/>
          <w:sz w:val="18"/>
        </w:rPr>
        <w:t>KDB</w:t>
      </w:r>
      <w:r>
        <w:rPr>
          <w:rFonts w:asciiTheme="majorEastAsia" w:eastAsiaTheme="majorEastAsia" w:hAnsiTheme="majorEastAsia" w:hint="eastAsia"/>
          <w:sz w:val="18"/>
        </w:rPr>
        <w:t>ｼｽﾃﾑ改変　様式（</w:t>
      </w:r>
      <w:r>
        <w:rPr>
          <w:rFonts w:asciiTheme="majorEastAsia" w:eastAsiaTheme="majorEastAsia" w:hAnsiTheme="majorEastAsia" w:hint="eastAsia"/>
          <w:sz w:val="18"/>
        </w:rPr>
        <w:t>5-3</w:t>
      </w:r>
      <w:r>
        <w:rPr>
          <w:rFonts w:asciiTheme="majorEastAsia" w:eastAsiaTheme="majorEastAsia" w:hAnsiTheme="majorEastAsia" w:hint="eastAsia"/>
          <w:sz w:val="18"/>
        </w:rPr>
        <w:t>）</w:t>
      </w:r>
    </w:p>
    <w:p w:rsidR="00584782" w:rsidRDefault="003A4011">
      <w:pPr>
        <w:ind w:rightChars="400" w:right="840"/>
        <w:rPr>
          <w:rFonts w:asciiTheme="majorEastAsia" w:eastAsiaTheme="majorEastAsia" w:hAnsiTheme="majorEastAsia"/>
          <w:color w:val="0070C0"/>
          <w:sz w:val="22"/>
        </w:rPr>
      </w:pPr>
      <w:r>
        <w:rPr>
          <w:rFonts w:asciiTheme="majorEastAsia" w:eastAsiaTheme="majorEastAsia" w:hAnsiTheme="majorEastAsia" w:hint="eastAsia"/>
          <w:sz w:val="22"/>
        </w:rPr>
        <w:t>図表</w:t>
      </w:r>
      <w:r>
        <w:rPr>
          <w:rFonts w:asciiTheme="majorEastAsia" w:eastAsiaTheme="majorEastAsia" w:hAnsiTheme="majorEastAsia" w:hint="eastAsia"/>
          <w:sz w:val="22"/>
        </w:rPr>
        <w:t>64</w:t>
      </w:r>
      <w:r>
        <w:rPr>
          <w:rFonts w:asciiTheme="majorEastAsia" w:eastAsiaTheme="majorEastAsia" w:hAnsiTheme="majorEastAsia" w:hint="eastAsia"/>
          <w:sz w:val="22"/>
        </w:rPr>
        <w:t xml:space="preserve">　メタボリック該当者の治療状況</w:t>
      </w:r>
    </w:p>
    <w:p w:rsidR="00584782" w:rsidRDefault="003A4011">
      <w:pPr>
        <w:ind w:rightChars="400" w:right="840"/>
        <w:rPr>
          <w:rFonts w:ascii="ＭＳ Ｐゴシック" w:eastAsia="ＭＳ Ｐゴシック" w:hAnsi="ＭＳ Ｐゴシック"/>
          <w:sz w:val="22"/>
        </w:rPr>
      </w:pPr>
      <w:r>
        <w:rPr>
          <w:rFonts w:hint="eastAsia"/>
          <w:noProof/>
        </w:rPr>
        <w:drawing>
          <wp:inline distT="0" distB="0" distL="203200" distR="203200">
            <wp:extent cx="6071870" cy="1935480"/>
            <wp:effectExtent l="0" t="0" r="0" b="0"/>
            <wp:docPr id="1099" name="オブジェクト 0"/>
            <wp:cNvGraphicFramePr/>
            <a:graphic xmlns:a="http://schemas.openxmlformats.org/drawingml/2006/main">
              <a:graphicData uri="http://schemas.openxmlformats.org/drawingml/2006/picture">
                <pic:pic xmlns:pic="http://schemas.openxmlformats.org/drawingml/2006/picture">
                  <pic:nvPicPr>
                    <pic:cNvPr id="1099" name="オブジェクト 0"/>
                    <pic:cNvPicPr>
                      <a:picLocks noChangeAspect="1"/>
                    </pic:cNvPicPr>
                  </pic:nvPicPr>
                  <pic:blipFill>
                    <a:blip r:embed="rId75"/>
                    <a:stretch>
                      <a:fillRect/>
                    </a:stretch>
                  </pic:blipFill>
                  <pic:spPr>
                    <a:xfrm>
                      <a:off x="0" y="0"/>
                      <a:ext cx="6071870" cy="1935480"/>
                    </a:xfrm>
                    <a:prstGeom prst="rect">
                      <a:avLst/>
                    </a:prstGeom>
                  </pic:spPr>
                </pic:pic>
              </a:graphicData>
            </a:graphic>
          </wp:inline>
        </w:drawing>
      </w:r>
    </w:p>
    <w:p w:rsidR="00584782" w:rsidRDefault="003A4011">
      <w:pPr>
        <w:jc w:val="right"/>
        <w:rPr>
          <w:rFonts w:asciiTheme="majorEastAsia" w:eastAsiaTheme="majorEastAsia" w:hAnsiTheme="majorEastAsia"/>
          <w:sz w:val="18"/>
        </w:rPr>
      </w:pPr>
      <w:r>
        <w:rPr>
          <w:rFonts w:asciiTheme="majorEastAsia" w:eastAsiaTheme="majorEastAsia" w:hAnsiTheme="majorEastAsia" w:hint="eastAsia"/>
          <w:sz w:val="18"/>
        </w:rPr>
        <w:t>出典・参照：特定健診等ﾃﾞｰﾀ管理ｼｽﾃﾑ</w:t>
      </w:r>
    </w:p>
    <w:p w:rsidR="00584782" w:rsidRDefault="00584782">
      <w:pPr>
        <w:ind w:firstLineChars="100" w:firstLine="220"/>
        <w:rPr>
          <w:rFonts w:asciiTheme="majorEastAsia" w:eastAsiaTheme="majorEastAsia" w:hAnsiTheme="majorEastAsia"/>
          <w:color w:val="0070C0"/>
          <w:sz w:val="22"/>
        </w:rPr>
      </w:pP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年代別のメタボリックシンドローム該当者</w:t>
      </w:r>
      <w:r>
        <w:rPr>
          <w:rFonts w:asciiTheme="majorEastAsia" w:eastAsiaTheme="majorEastAsia" w:hAnsiTheme="majorEastAsia" w:hint="eastAsia"/>
          <w:sz w:val="22"/>
        </w:rPr>
        <w:t>(</w:t>
      </w:r>
      <w:r>
        <w:rPr>
          <w:rFonts w:asciiTheme="majorEastAsia" w:eastAsiaTheme="majorEastAsia" w:hAnsiTheme="majorEastAsia" w:hint="eastAsia"/>
          <w:sz w:val="22"/>
        </w:rPr>
        <w:t>図表</w:t>
      </w:r>
      <w:r>
        <w:rPr>
          <w:rFonts w:asciiTheme="majorEastAsia" w:eastAsiaTheme="majorEastAsia" w:hAnsiTheme="majorEastAsia" w:hint="eastAsia"/>
          <w:sz w:val="22"/>
        </w:rPr>
        <w:t>63)</w:t>
      </w:r>
      <w:r>
        <w:rPr>
          <w:rFonts w:asciiTheme="majorEastAsia" w:eastAsiaTheme="majorEastAsia" w:hAnsiTheme="majorEastAsia" w:hint="eastAsia"/>
          <w:sz w:val="22"/>
        </w:rPr>
        <w:t>は、男性で</w:t>
      </w:r>
      <w:r>
        <w:rPr>
          <w:rFonts w:asciiTheme="majorEastAsia" w:eastAsiaTheme="majorEastAsia" w:hAnsiTheme="majorEastAsia" w:hint="eastAsia"/>
          <w:sz w:val="22"/>
        </w:rPr>
        <w:t>50</w:t>
      </w:r>
      <w:r>
        <w:rPr>
          <w:rFonts w:asciiTheme="majorEastAsia" w:eastAsiaTheme="majorEastAsia" w:hAnsiTheme="majorEastAsia" w:hint="eastAsia"/>
          <w:sz w:val="22"/>
        </w:rPr>
        <w:t>代から受診者の５割近い割合であり、女性では</w:t>
      </w:r>
      <w:r>
        <w:rPr>
          <w:rFonts w:asciiTheme="majorEastAsia" w:eastAsiaTheme="majorEastAsia" w:hAnsiTheme="majorEastAsia" w:hint="eastAsia"/>
          <w:sz w:val="22"/>
        </w:rPr>
        <w:t>60</w:t>
      </w:r>
      <w:r>
        <w:rPr>
          <w:rFonts w:asciiTheme="majorEastAsia" w:eastAsiaTheme="majorEastAsia" w:hAnsiTheme="majorEastAsia" w:hint="eastAsia"/>
          <w:sz w:val="22"/>
        </w:rPr>
        <w:t>代・</w:t>
      </w:r>
      <w:r>
        <w:rPr>
          <w:rFonts w:asciiTheme="majorEastAsia" w:eastAsiaTheme="majorEastAsia" w:hAnsiTheme="majorEastAsia" w:hint="eastAsia"/>
          <w:sz w:val="22"/>
        </w:rPr>
        <w:t>70</w:t>
      </w:r>
      <w:r>
        <w:rPr>
          <w:rFonts w:asciiTheme="majorEastAsia" w:eastAsiaTheme="majorEastAsia" w:hAnsiTheme="majorEastAsia" w:hint="eastAsia"/>
          <w:sz w:val="22"/>
        </w:rPr>
        <w:t>代で２割程度である。その為、男性を優先とすることが効率的であると考えます。</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メタボリックシンドローム該当者のリスク因子である高血圧、糖尿病、脂質異常症の治療状況</w:t>
      </w:r>
      <w:r>
        <w:rPr>
          <w:rFonts w:asciiTheme="majorEastAsia" w:eastAsiaTheme="majorEastAsia" w:hAnsiTheme="majorEastAsia" w:hint="eastAsia"/>
          <w:sz w:val="22"/>
        </w:rPr>
        <w:t>(</w:t>
      </w:r>
      <w:r>
        <w:rPr>
          <w:rFonts w:asciiTheme="majorEastAsia" w:eastAsiaTheme="majorEastAsia" w:hAnsiTheme="majorEastAsia" w:hint="eastAsia"/>
          <w:sz w:val="22"/>
        </w:rPr>
        <w:t>図表</w:t>
      </w:r>
      <w:r>
        <w:rPr>
          <w:rFonts w:asciiTheme="majorEastAsia" w:eastAsiaTheme="majorEastAsia" w:hAnsiTheme="majorEastAsia" w:hint="eastAsia"/>
          <w:sz w:val="22"/>
        </w:rPr>
        <w:t>64)</w:t>
      </w:r>
      <w:r>
        <w:rPr>
          <w:rFonts w:asciiTheme="majorEastAsia" w:eastAsiaTheme="majorEastAsia" w:hAnsiTheme="majorEastAsia" w:hint="eastAsia"/>
          <w:sz w:val="22"/>
        </w:rPr>
        <w:t>は、男女とも半数以上が治療中となっていますが、メタボリックシンドローム該当者は増加しており、治療だけでは解決できないことがわかります。</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また、</w:t>
      </w:r>
      <w:r>
        <w:rPr>
          <w:rFonts w:asciiTheme="majorEastAsia" w:eastAsiaTheme="majorEastAsia" w:hAnsiTheme="majorEastAsia" w:hint="eastAsia"/>
          <w:sz w:val="22"/>
        </w:rPr>
        <w:t>(</w:t>
      </w:r>
      <w:r>
        <w:rPr>
          <w:rFonts w:asciiTheme="majorEastAsia" w:eastAsiaTheme="majorEastAsia" w:hAnsiTheme="majorEastAsia" w:hint="eastAsia"/>
          <w:sz w:val="22"/>
        </w:rPr>
        <w:t>図表</w:t>
      </w:r>
      <w:r>
        <w:rPr>
          <w:rFonts w:asciiTheme="majorEastAsia" w:eastAsiaTheme="majorEastAsia" w:hAnsiTheme="majorEastAsia" w:hint="eastAsia"/>
          <w:sz w:val="22"/>
        </w:rPr>
        <w:t>62)</w:t>
      </w:r>
      <w:r>
        <w:rPr>
          <w:rFonts w:asciiTheme="majorEastAsia" w:eastAsiaTheme="majorEastAsia" w:hAnsiTheme="majorEastAsia" w:hint="eastAsia"/>
          <w:sz w:val="22"/>
        </w:rPr>
        <w:t>心・脳血管疾患を発症した事例を整理すると、全員がメタボリックシンドローム該当者であり、脂肪細胞から分泌されるサイトカインは、内臓脂肪蓄積により分泌異常を起こし、それにより易炎症性状態、インスリン抵抗性となり動脈硬化を引き起こし、心血管病へ直接影響を与えた結果であると考えます。このようにメタボリックシンドロームは、生活習慣病の薬物療法と合わせて、食事療法や運動療法による生活改善も同時に必要となり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（１）　対象者の選定基準の考え方</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①　メタボリックシンドロームの個々の因子である血圧、高血糖、脂質の値が、受</w:t>
      </w:r>
      <w:r>
        <w:rPr>
          <w:rFonts w:ascii="ＭＳ Ｐゴシック" w:eastAsia="ＭＳ Ｐゴシック" w:hAnsi="ＭＳ Ｐゴシック" w:hint="eastAsia"/>
          <w:sz w:val="22"/>
        </w:rPr>
        <w:t>診勧奨判定値以上</w:t>
      </w:r>
    </w:p>
    <w:p w:rsidR="00584782" w:rsidRDefault="003A4011">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の医療受診が必要な者には、適切な受診のための保健指導を行います。</w:t>
      </w:r>
    </w:p>
    <w:p w:rsidR="00584782" w:rsidRDefault="003A4011">
      <w:pPr>
        <w:pStyle w:val="a3"/>
        <w:numPr>
          <w:ilvl w:val="0"/>
          <w:numId w:val="8"/>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治療中の者へは、治療中断し心血管疾患を起こさないための保健指導と併せて減量のための</w:t>
      </w:r>
    </w:p>
    <w:p w:rsidR="00584782" w:rsidRDefault="003A4011">
      <w:pPr>
        <w:pStyle w:val="a3"/>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保健指導（食事指導）を行います。</w:t>
      </w:r>
    </w:p>
    <w:p w:rsidR="00584782" w:rsidRDefault="003A4011">
      <w:pPr>
        <w:pStyle w:val="a3"/>
        <w:numPr>
          <w:ilvl w:val="0"/>
          <w:numId w:val="8"/>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特定保健指導対象者の保健指導</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食事指導</w:t>
      </w:r>
      <w:r>
        <w:rPr>
          <w:rFonts w:ascii="ＭＳ Ｐゴシック" w:eastAsia="ＭＳ Ｐゴシック" w:hAnsi="ＭＳ Ｐゴシック" w:hint="eastAsia"/>
          <w:sz w:val="22"/>
        </w:rPr>
        <w:t>)</w:t>
      </w:r>
    </w:p>
    <w:p w:rsidR="00584782" w:rsidRDefault="00584782">
      <w:pPr>
        <w:rPr>
          <w:rFonts w:ascii="ＭＳ Ｐゴシック" w:eastAsia="ＭＳ Ｐゴシック" w:hAnsi="ＭＳ Ｐゴシック"/>
          <w:b/>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対象者の管理</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対象者の進捗管理はメタボ</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肥満</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台帳を作成し、管理します。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４）保健指導の実施</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（１）最新の脳科学を活用した保健指導</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0070C0"/>
          <w:sz w:val="22"/>
        </w:rPr>
        <w:t xml:space="preserve">　　</w:t>
      </w:r>
      <w:r>
        <w:rPr>
          <w:rFonts w:ascii="ＭＳ Ｐゴシック" w:eastAsia="ＭＳ Ｐゴシック" w:hAnsi="ＭＳ Ｐゴシック" w:hint="eastAsia"/>
          <w:sz w:val="22"/>
        </w:rPr>
        <w:t>対象者への保健指導については、メタボリックシンドロームの定義と診断基準、最新肥満症学、肥満症治療ガイドライン</w:t>
      </w:r>
      <w:r>
        <w:rPr>
          <w:rFonts w:ascii="ＭＳ Ｐゴシック" w:eastAsia="ＭＳ Ｐゴシック" w:hAnsi="ＭＳ Ｐゴシック" w:hint="eastAsia"/>
          <w:sz w:val="22"/>
        </w:rPr>
        <w:t>2022</w:t>
      </w:r>
      <w:r>
        <w:rPr>
          <w:rFonts w:ascii="ＭＳ Ｐゴシック" w:eastAsia="ＭＳ Ｐゴシック" w:hAnsi="ＭＳ Ｐゴシック" w:hint="eastAsia"/>
          <w:sz w:val="22"/>
        </w:rPr>
        <w:t>等を参考に作成した保健指導用教材を活用し行っていきます。</w:t>
      </w:r>
    </w:p>
    <w:p w:rsidR="00584782" w:rsidRDefault="003A4011">
      <w:pPr>
        <w:rPr>
          <w:rFonts w:asciiTheme="majorEastAsia" w:eastAsiaTheme="majorEastAsia" w:hAnsiTheme="majorEastAsia"/>
          <w:color w:val="0070C0"/>
          <w:sz w:val="14"/>
        </w:rPr>
      </w:pPr>
      <w:r>
        <w:rPr>
          <w:rFonts w:hint="eastAsia"/>
          <w:noProof/>
        </w:rPr>
        <w:drawing>
          <wp:anchor distT="0" distB="0" distL="114300" distR="114300" simplePos="0" relativeHeight="15" behindDoc="0" locked="0" layoutInCell="1" hidden="0" allowOverlap="1">
            <wp:simplePos x="0" y="0"/>
            <wp:positionH relativeFrom="page">
              <wp:align>center</wp:align>
            </wp:positionH>
            <wp:positionV relativeFrom="paragraph">
              <wp:posOffset>314960</wp:posOffset>
            </wp:positionV>
            <wp:extent cx="6225540" cy="5324475"/>
            <wp:effectExtent l="0" t="0" r="0" b="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a:blip r:embed="rId76"/>
                    <a:stretch>
                      <a:fillRect/>
                    </a:stretch>
                  </pic:blipFill>
                  <pic:spPr>
                    <a:xfrm>
                      <a:off x="0" y="0"/>
                      <a:ext cx="6225540" cy="5324475"/>
                    </a:xfrm>
                    <a:prstGeom prst="rect">
                      <a:avLst/>
                    </a:prstGeom>
                    <a:noFill/>
                    <a:ln>
                      <a:noFill/>
                    </a:ln>
                  </pic:spPr>
                </pic:pic>
              </a:graphicData>
            </a:graphic>
          </wp:anchor>
        </w:drawing>
      </w:r>
      <w:r>
        <w:rPr>
          <w:rFonts w:asciiTheme="majorEastAsia" w:eastAsiaTheme="majorEastAsia" w:hAnsiTheme="majorEastAsia" w:hint="eastAsia"/>
          <w:sz w:val="22"/>
        </w:rPr>
        <w:t>図表</w:t>
      </w:r>
      <w:r>
        <w:rPr>
          <w:rFonts w:asciiTheme="majorEastAsia" w:eastAsiaTheme="majorEastAsia" w:hAnsiTheme="majorEastAsia" w:hint="eastAsia"/>
          <w:sz w:val="22"/>
        </w:rPr>
        <w:t>65</w:t>
      </w:r>
      <w:r>
        <w:rPr>
          <w:rFonts w:asciiTheme="majorEastAsia" w:eastAsiaTheme="majorEastAsia" w:hAnsiTheme="majorEastAsia" w:hint="eastAsia"/>
          <w:sz w:val="10"/>
        </w:rPr>
        <w:t xml:space="preserve">　</w:t>
      </w:r>
      <w:r>
        <w:rPr>
          <w:rFonts w:asciiTheme="majorEastAsia" w:eastAsiaTheme="majorEastAsia" w:hAnsiTheme="majorEastAsia" w:hint="eastAsia"/>
        </w:rPr>
        <w:t>令和</w:t>
      </w:r>
      <w:r>
        <w:rPr>
          <w:rFonts w:asciiTheme="majorEastAsia" w:eastAsiaTheme="majorEastAsia" w:hAnsiTheme="majorEastAsia" w:hint="eastAsia"/>
        </w:rPr>
        <w:t>4</w:t>
      </w:r>
      <w:r>
        <w:rPr>
          <w:rFonts w:asciiTheme="majorEastAsia" w:eastAsiaTheme="majorEastAsia" w:hAnsiTheme="majorEastAsia" w:hint="eastAsia"/>
        </w:rPr>
        <w:t>年度版</w:t>
      </w:r>
      <w:r>
        <w:rPr>
          <w:rFonts w:asciiTheme="majorEastAsia" w:eastAsiaTheme="majorEastAsia" w:hAnsiTheme="majorEastAsia" w:hint="eastAsia"/>
          <w:sz w:val="8"/>
        </w:rPr>
        <w:t xml:space="preserve">　</w:t>
      </w:r>
      <w:r>
        <w:rPr>
          <w:rFonts w:asciiTheme="majorEastAsia" w:eastAsiaTheme="majorEastAsia" w:hAnsiTheme="majorEastAsia" w:hint="eastAsia"/>
        </w:rPr>
        <w:t>沖縄</w:t>
      </w:r>
      <w:r>
        <w:rPr>
          <w:rFonts w:asciiTheme="majorEastAsia" w:eastAsiaTheme="majorEastAsia" w:hAnsiTheme="majorEastAsia" w:hint="eastAsia"/>
          <w:sz w:val="8"/>
        </w:rPr>
        <w:t xml:space="preserve">　</w:t>
      </w:r>
      <w:r>
        <w:rPr>
          <w:rFonts w:asciiTheme="majorEastAsia" w:eastAsiaTheme="majorEastAsia" w:hAnsiTheme="majorEastAsia" w:hint="eastAsia"/>
        </w:rPr>
        <w:t>食ノート</w:t>
      </w:r>
      <w:r>
        <w:rPr>
          <w:rFonts w:asciiTheme="majorEastAsia" w:eastAsiaTheme="majorEastAsia" w:hAnsiTheme="majorEastAsia" w:hint="eastAsia"/>
          <w:sz w:val="4"/>
        </w:rPr>
        <w:t xml:space="preserve">　</w:t>
      </w:r>
      <w:r>
        <w:rPr>
          <w:rFonts w:asciiTheme="majorEastAsia" w:eastAsiaTheme="majorEastAsia" w:hAnsiTheme="majorEastAsia" w:hint="eastAsia"/>
        </w:rPr>
        <w:t>肥満を解決するための食の資料</w:t>
      </w:r>
      <w:r>
        <w:rPr>
          <w:rFonts w:asciiTheme="majorEastAsia" w:eastAsiaTheme="majorEastAsia" w:hAnsiTheme="majorEastAsia" w:hint="eastAsia"/>
        </w:rPr>
        <w:t>Ver.</w:t>
      </w:r>
      <w:r>
        <w:rPr>
          <w:rFonts w:asciiTheme="majorEastAsia" w:eastAsiaTheme="majorEastAsia" w:hAnsiTheme="majorEastAsia" w:hint="eastAsia"/>
          <w:sz w:val="22"/>
        </w:rPr>
        <w:t>3</w:t>
      </w:r>
      <w:r>
        <w:rPr>
          <w:rFonts w:asciiTheme="majorEastAsia" w:eastAsiaTheme="majorEastAsia" w:hAnsiTheme="majorEastAsia" w:hint="eastAsia"/>
          <w:sz w:val="14"/>
        </w:rPr>
        <w:t>（沖縄県ヘルスアップ支援事業）</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　二次健診の実施</w:t>
      </w:r>
    </w:p>
    <w:p w:rsidR="00584782" w:rsidRDefault="003A401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メタボリックシンドローム該当者においては、脳・心血管疾患のリスクが非常に高くなるため、社会保険においては、</w:t>
      </w:r>
      <w:r>
        <w:rPr>
          <w:rFonts w:asciiTheme="majorEastAsia" w:eastAsiaTheme="majorEastAsia" w:hAnsiTheme="majorEastAsia" w:hint="eastAsia"/>
          <w:sz w:val="22"/>
        </w:rPr>
        <w:t>2001</w:t>
      </w:r>
      <w:r>
        <w:rPr>
          <w:rFonts w:asciiTheme="majorEastAsia" w:eastAsiaTheme="majorEastAsia" w:hAnsiTheme="majorEastAsia" w:hint="eastAsia"/>
          <w:sz w:val="22"/>
        </w:rPr>
        <w:t>年より労災保険二次健康診断給付事業が施行されています。</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本町においてもメタボリックシンドローム該当者を優先に町の予算で二次健診を実施し、糖尿病、心筋梗塞、脳梗塞、人工透析等の重症化及び発症の予防を図っています。</w:t>
      </w:r>
    </w:p>
    <w:p w:rsidR="00584782" w:rsidRDefault="003A4011">
      <w:pPr>
        <w:rPr>
          <w:rFonts w:asciiTheme="majorEastAsia" w:eastAsiaTheme="majorEastAsia" w:hAnsiTheme="majorEastAsia"/>
          <w:sz w:val="22"/>
        </w:rPr>
      </w:pPr>
      <w:r>
        <w:rPr>
          <w:rFonts w:asciiTheme="majorEastAsia" w:eastAsiaTheme="majorEastAsia" w:hAnsiTheme="majorEastAsia" w:hint="eastAsia"/>
          <w:color w:val="0070C0"/>
          <w:sz w:val="22"/>
        </w:rPr>
        <w:t xml:space="preserve">　</w:t>
      </w:r>
      <w:r>
        <w:rPr>
          <w:rFonts w:asciiTheme="majorEastAsia" w:eastAsiaTheme="majorEastAsia" w:hAnsiTheme="majorEastAsia" w:hint="eastAsia"/>
          <w:sz w:val="22"/>
        </w:rPr>
        <w:t>本部町においてもメタボリックシンドローム該当者において、脳・心血管疾患のリスクが高い方を優先的に二次検診実施を行っています。</w:t>
      </w:r>
    </w:p>
    <w:p w:rsidR="00584782" w:rsidRDefault="00584782">
      <w:pPr>
        <w:rPr>
          <w:rFonts w:asciiTheme="majorEastAsia" w:eastAsiaTheme="majorEastAsia" w:hAnsiTheme="majorEastAsia"/>
          <w:sz w:val="22"/>
        </w:rPr>
      </w:pP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◎動脈硬化の有無や進行の程度を見るための検査</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 xml:space="preserve">　　　①頸動脈エコー検査</w:t>
      </w:r>
      <w:r>
        <w:rPr>
          <w:rFonts w:asciiTheme="majorEastAsia" w:eastAsiaTheme="majorEastAsia" w:hAnsiTheme="majorEastAsia" w:hint="eastAsia"/>
          <w:sz w:val="22"/>
        </w:rPr>
        <w:t>(</w:t>
      </w:r>
      <w:r>
        <w:rPr>
          <w:rFonts w:asciiTheme="majorEastAsia" w:eastAsiaTheme="majorEastAsia" w:hAnsiTheme="majorEastAsia" w:hint="eastAsia"/>
          <w:sz w:val="22"/>
        </w:rPr>
        <w:t>心臓から頭に向かう太い血管内皮の状態を見る検査</w:t>
      </w:r>
      <w:r>
        <w:rPr>
          <w:rFonts w:asciiTheme="majorEastAsia" w:eastAsiaTheme="majorEastAsia" w:hAnsiTheme="majorEastAsia" w:hint="eastAsia"/>
          <w:sz w:val="22"/>
        </w:rPr>
        <w:t>)</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 xml:space="preserve">　　　②負荷心電図</w:t>
      </w:r>
      <w:r>
        <w:rPr>
          <w:rFonts w:asciiTheme="majorEastAsia" w:eastAsiaTheme="majorEastAsia" w:hAnsiTheme="majorEastAsia" w:hint="eastAsia"/>
          <w:sz w:val="22"/>
        </w:rPr>
        <w:t>(</w:t>
      </w:r>
      <w:r>
        <w:rPr>
          <w:rFonts w:asciiTheme="majorEastAsia" w:eastAsiaTheme="majorEastAsia" w:hAnsiTheme="majorEastAsia" w:hint="eastAsia"/>
          <w:sz w:val="22"/>
        </w:rPr>
        <w:t>心臓の状態を詳しく見る検査</w:t>
      </w:r>
      <w:r>
        <w:rPr>
          <w:rFonts w:asciiTheme="majorEastAsia" w:eastAsiaTheme="majorEastAsia" w:hAnsiTheme="majorEastAsia" w:hint="eastAsia"/>
          <w:sz w:val="22"/>
        </w:rPr>
        <w:t>)</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 xml:space="preserve">　　　③微量アルブミン検査</w:t>
      </w:r>
      <w:r>
        <w:rPr>
          <w:rFonts w:asciiTheme="majorEastAsia" w:eastAsiaTheme="majorEastAsia" w:hAnsiTheme="majorEastAsia" w:hint="eastAsia"/>
          <w:sz w:val="22"/>
        </w:rPr>
        <w:t>(</w:t>
      </w:r>
      <w:r>
        <w:rPr>
          <w:rFonts w:asciiTheme="majorEastAsia" w:eastAsiaTheme="majorEastAsia" w:hAnsiTheme="majorEastAsia" w:hint="eastAsia"/>
          <w:sz w:val="22"/>
        </w:rPr>
        <w:t>尿で腎臓の状態を見る検査</w:t>
      </w:r>
      <w:r>
        <w:rPr>
          <w:rFonts w:asciiTheme="majorEastAsia" w:eastAsiaTheme="majorEastAsia" w:hAnsiTheme="majorEastAsia" w:hint="eastAsia"/>
          <w:sz w:val="22"/>
        </w:rPr>
        <w:t>)</w:t>
      </w:r>
    </w:p>
    <w:p w:rsidR="00584782" w:rsidRDefault="003A4011">
      <w:pPr>
        <w:rPr>
          <w:rFonts w:asciiTheme="majorEastAsia" w:eastAsiaTheme="majorEastAsia" w:hAnsiTheme="majorEastAsia"/>
          <w:sz w:val="22"/>
        </w:rPr>
      </w:pPr>
      <w:r>
        <w:rPr>
          <w:rFonts w:asciiTheme="majorEastAsia" w:eastAsiaTheme="majorEastAsia" w:hAnsiTheme="majorEastAsia" w:hint="eastAsia"/>
          <w:sz w:val="22"/>
        </w:rPr>
        <w:t xml:space="preserve">　　　④</w:t>
      </w:r>
      <w:r>
        <w:rPr>
          <w:rFonts w:asciiTheme="majorEastAsia" w:eastAsiaTheme="majorEastAsia" w:hAnsiTheme="majorEastAsia" w:hint="eastAsia"/>
          <w:sz w:val="22"/>
        </w:rPr>
        <w:t>75</w:t>
      </w:r>
      <w:r>
        <w:rPr>
          <w:rFonts w:asciiTheme="majorEastAsia" w:eastAsiaTheme="majorEastAsia" w:hAnsiTheme="majorEastAsia" w:hint="eastAsia"/>
          <w:sz w:val="22"/>
        </w:rPr>
        <w:t>ｇ糖負荷検査（高インスリン状態を見る検査）</w:t>
      </w:r>
    </w:p>
    <w:p w:rsidR="00584782" w:rsidRDefault="00584782">
      <w:pPr>
        <w:rPr>
          <w:rFonts w:asciiTheme="majorEastAsia" w:eastAsiaTheme="majorEastAsia" w:hAnsiTheme="majorEastAsia"/>
          <w:color w:val="0070C0"/>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584782">
      <w:pPr>
        <w:rPr>
          <w:rFonts w:asciiTheme="majorEastAsia" w:eastAsiaTheme="majorEastAsia" w:hAnsiTheme="majorEastAsia"/>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b/>
          <w:sz w:val="32"/>
        </w:rPr>
        <w:lastRenderedPageBreak/>
        <w:t>３．虚血性心疾患重症化予防</w:t>
      </w:r>
      <w:r>
        <w:rPr>
          <w:rFonts w:ascii="ＭＳ Ｐゴシック" w:eastAsia="ＭＳ Ｐゴシック" w:hAnsi="ＭＳ Ｐゴシック" w:hint="eastAsia"/>
          <w:b/>
          <w:sz w:val="22"/>
        </w:rPr>
        <w:t xml:space="preserve">　</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1</w:t>
      </w:r>
      <w:r>
        <w:rPr>
          <w:rFonts w:ascii="ＭＳ Ｐゴシック" w:eastAsia="ＭＳ Ｐゴシック" w:hAnsi="ＭＳ Ｐゴシック" w:hint="eastAsia"/>
          <w:sz w:val="28"/>
        </w:rPr>
        <w:t>）　基本的な考え方</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虚血性心疾患重症化予防の取組にあたっては脳心血管病予防に関する包括的リスク管理チャート</w:t>
      </w:r>
      <w:r>
        <w:rPr>
          <w:rFonts w:ascii="ＭＳ Ｐゴシック" w:eastAsia="ＭＳ Ｐゴシック" w:hAnsi="ＭＳ Ｐゴシック" w:hint="eastAsia"/>
          <w:sz w:val="22"/>
        </w:rPr>
        <w:t>2019</w:t>
      </w:r>
      <w:r>
        <w:rPr>
          <w:rFonts w:ascii="ＭＳ Ｐゴシック" w:eastAsia="ＭＳ Ｐゴシック" w:hAnsi="ＭＳ Ｐゴシック" w:hint="eastAsia"/>
          <w:sz w:val="22"/>
        </w:rPr>
        <w:t>、冠動脈疾患の一次予防に関する診療ガイドライン</w:t>
      </w:r>
      <w:r>
        <w:rPr>
          <w:rFonts w:ascii="ＭＳ Ｐゴシック" w:eastAsia="ＭＳ Ｐゴシック" w:hAnsi="ＭＳ Ｐゴシック" w:hint="eastAsia"/>
          <w:sz w:val="22"/>
        </w:rPr>
        <w:t>2023</w:t>
      </w:r>
      <w:r>
        <w:rPr>
          <w:rFonts w:ascii="ＭＳ Ｐゴシック" w:eastAsia="ＭＳ Ｐゴシック" w:hAnsi="ＭＳ Ｐゴシック" w:hint="eastAsia"/>
          <w:sz w:val="22"/>
        </w:rPr>
        <w:t>改訂版、動脈硬化性疾患予防ガイドライン</w:t>
      </w:r>
      <w:r>
        <w:rPr>
          <w:rFonts w:ascii="ＭＳ Ｐゴシック" w:eastAsia="ＭＳ Ｐゴシック" w:hAnsi="ＭＳ Ｐゴシック" w:hint="eastAsia"/>
          <w:sz w:val="22"/>
        </w:rPr>
        <w:t>2022</w:t>
      </w:r>
      <w:r>
        <w:rPr>
          <w:rFonts w:ascii="ＭＳ Ｐゴシック" w:eastAsia="ＭＳ Ｐゴシック" w:hAnsi="ＭＳ Ｐゴシック" w:hint="eastAsia"/>
          <w:sz w:val="22"/>
        </w:rPr>
        <w:t>年版に関する各学会ガイドライン等に基づいて進めていきます。</w:t>
      </w: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２）　対象者の明確化</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（１）　対象者選定基準の考え方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b/>
          <w:color w:val="0070C0"/>
          <w:sz w:val="22"/>
        </w:rPr>
        <w:t xml:space="preserve">　</w:t>
      </w:r>
      <w:r>
        <w:rPr>
          <w:rFonts w:ascii="ＭＳ Ｐゴシック" w:eastAsia="ＭＳ Ｐゴシック" w:hAnsi="ＭＳ Ｐゴシック" w:hint="eastAsia"/>
          <w:sz w:val="22"/>
        </w:rPr>
        <w:t>受診勧奨者及び保健指導対象者の選定基準にあたっては、（図表</w:t>
      </w:r>
      <w:r>
        <w:rPr>
          <w:rFonts w:ascii="ＭＳ Ｐゴシック" w:eastAsia="ＭＳ Ｐゴシック" w:hAnsi="ＭＳ Ｐゴシック" w:hint="eastAsia"/>
          <w:sz w:val="22"/>
        </w:rPr>
        <w:t>66</w:t>
      </w:r>
      <w:r>
        <w:rPr>
          <w:rFonts w:ascii="ＭＳ Ｐゴシック" w:eastAsia="ＭＳ Ｐゴシック" w:hAnsi="ＭＳ Ｐゴシック" w:hint="eastAsia"/>
          <w:sz w:val="22"/>
        </w:rPr>
        <w:t>）に基づいて考えます。</w:t>
      </w:r>
    </w:p>
    <w:p w:rsidR="00584782" w:rsidRDefault="00584782">
      <w:pPr>
        <w:rPr>
          <w:rFonts w:ascii="ＭＳ Ｐゴシック" w:eastAsia="ＭＳ Ｐゴシック" w:hAnsi="ＭＳ Ｐゴシック"/>
          <w:b/>
          <w:sz w:val="22"/>
        </w:rPr>
      </w:pPr>
    </w:p>
    <w:p w:rsidR="00584782" w:rsidRDefault="003A4011">
      <w:pPr>
        <w:rPr>
          <w:rFonts w:ascii="ＭＳ Ｐゴシック" w:eastAsia="ＭＳ Ｐゴシック" w:hAnsi="ＭＳ Ｐゴシック"/>
          <w:sz w:val="22"/>
        </w:rPr>
      </w:pPr>
      <w:r>
        <w:rPr>
          <w:rFonts w:hint="eastAsia"/>
          <w:noProof/>
        </w:rPr>
        <w:drawing>
          <wp:anchor distT="0" distB="0" distL="114300" distR="114300" simplePos="0" relativeHeight="16" behindDoc="0" locked="0" layoutInCell="1" hidden="0" allowOverlap="1">
            <wp:simplePos x="0" y="0"/>
            <wp:positionH relativeFrom="column">
              <wp:posOffset>4445</wp:posOffset>
            </wp:positionH>
            <wp:positionV relativeFrom="paragraph">
              <wp:posOffset>236220</wp:posOffset>
            </wp:positionV>
            <wp:extent cx="6028690" cy="3328670"/>
            <wp:effectExtent l="0" t="0" r="0" b="0"/>
            <wp:wrapTopAndBottom/>
            <wp:docPr id="1101" name="オブジェクト 0"/>
            <wp:cNvGraphicFramePr/>
            <a:graphic xmlns:a="http://schemas.openxmlformats.org/drawingml/2006/main">
              <a:graphicData uri="http://schemas.openxmlformats.org/drawingml/2006/picture">
                <pic:pic xmlns:pic="http://schemas.openxmlformats.org/drawingml/2006/picture">
                  <pic:nvPicPr>
                    <pic:cNvPr id="1101" name="オブジェクト 0"/>
                    <pic:cNvPicPr/>
                  </pic:nvPicPr>
                  <pic:blipFill>
                    <a:blip r:embed="rId77"/>
                    <a:srcRect b="2336"/>
                    <a:stretch>
                      <a:fillRect/>
                    </a:stretch>
                  </pic:blipFill>
                  <pic:spPr>
                    <a:xfrm>
                      <a:off x="0" y="0"/>
                      <a:ext cx="6028690" cy="3328670"/>
                    </a:xfrm>
                    <a:prstGeom prst="rect">
                      <a:avLst/>
                    </a:prstGeom>
                    <a:ln>
                      <a:noFill/>
                    </a:ln>
                  </pic:spPr>
                </pic:pic>
              </a:graphicData>
            </a:graphic>
          </wp:anchor>
        </w:drawing>
      </w:r>
      <w:r>
        <w:rPr>
          <w:rFonts w:ascii="ＭＳ Ｐゴシック" w:eastAsia="ＭＳ Ｐゴシック" w:hAnsi="ＭＳ Ｐゴシック" w:hint="eastAsia"/>
          <w:sz w:val="22"/>
        </w:rPr>
        <w:t xml:space="preserve">　図表</w:t>
      </w:r>
      <w:r>
        <w:rPr>
          <w:rFonts w:ascii="ＭＳ Ｐゴシック" w:eastAsia="ＭＳ Ｐゴシック" w:hAnsi="ＭＳ Ｐゴシック" w:hint="eastAsia"/>
          <w:sz w:val="22"/>
        </w:rPr>
        <w:t>66</w:t>
      </w:r>
      <w:r>
        <w:rPr>
          <w:rFonts w:ascii="ＭＳ Ｐゴシック" w:eastAsia="ＭＳ Ｐゴシック" w:hAnsi="ＭＳ Ｐゴシック" w:hint="eastAsia"/>
          <w:sz w:val="22"/>
        </w:rPr>
        <w:t xml:space="preserve">　心電図所見からのフロー図　（</w:t>
      </w:r>
      <w:r>
        <w:rPr>
          <w:rFonts w:ascii="ＭＳ Ｐゴシック" w:eastAsia="ＭＳ Ｐゴシック" w:hAnsi="ＭＳ Ｐゴシック" w:hint="eastAsia"/>
          <w:sz w:val="22"/>
        </w:rPr>
        <w:t>R4</w:t>
      </w:r>
      <w:r>
        <w:rPr>
          <w:rFonts w:ascii="ＭＳ Ｐゴシック" w:eastAsia="ＭＳ Ｐゴシック" w:hAnsi="ＭＳ Ｐゴシック" w:hint="eastAsia"/>
          <w:sz w:val="22"/>
        </w:rPr>
        <w:t xml:space="preserve">沖・治　</w:t>
      </w:r>
      <w:r>
        <w:rPr>
          <w:rFonts w:ascii="ＭＳ Ｐゴシック" w:eastAsia="ＭＳ Ｐゴシック" w:hAnsi="ＭＳ Ｐゴシック" w:hint="eastAsia"/>
          <w:sz w:val="22"/>
        </w:rPr>
        <w:t>4-01</w:t>
      </w:r>
      <w:r>
        <w:rPr>
          <w:rFonts w:ascii="ＭＳ Ｐゴシック" w:eastAsia="ＭＳ Ｐゴシック" w:hAnsi="ＭＳ Ｐゴシック" w:hint="eastAsia"/>
          <w:sz w:val="22"/>
        </w:rPr>
        <w:t>）</w:t>
      </w:r>
    </w:p>
    <w:p w:rsidR="00584782" w:rsidRDefault="003A4011">
      <w:pPr>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出典：令和４年度版　なぜ治療が必要なのかを学習するための教材</w:t>
      </w:r>
    </w:p>
    <w:p w:rsidR="00584782" w:rsidRDefault="003A4011">
      <w:pPr>
        <w:jc w:val="right"/>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沖縄県ヘルスアップ支援事業</w:t>
      </w:r>
      <w:r>
        <w:rPr>
          <w:rFonts w:ascii="ＭＳ Ｐゴシック" w:eastAsia="ＭＳ Ｐゴシック" w:hAnsi="ＭＳ Ｐゴシック" w:hint="eastAsia"/>
          <w:sz w:val="16"/>
        </w:rPr>
        <w:t>)</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（２）　重症化予防対象者の抽出</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①心電図検査からの把握</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心電図検査は最も基本的な心臓の検査で、不整脈、心筋梗塞、狭心症、心肥大などの評価に用いられます。また、虚血性心疾患重症化予防においても重要な検査の</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つであり、「安静時心電図に</w:t>
      </w:r>
      <w:r>
        <w:rPr>
          <w:rFonts w:ascii="ＭＳ Ｐゴシック" w:eastAsia="ＭＳ Ｐゴシック" w:hAnsi="ＭＳ Ｐゴシック" w:hint="eastAsia"/>
          <w:sz w:val="22"/>
        </w:rPr>
        <w:t>ST-T</w:t>
      </w:r>
      <w:r>
        <w:rPr>
          <w:rFonts w:ascii="ＭＳ Ｐゴシック" w:eastAsia="ＭＳ Ｐゴシック" w:hAnsi="ＭＳ Ｐゴシック" w:hint="eastAsia"/>
          <w:sz w:val="22"/>
        </w:rPr>
        <w:t>異常などがある場合は生命予後の予測指標である」（心電図健診判定マニュアル：日本人間ドック学会画像検査判定ガイドライン作成委員会）ことから心電図検査所見において</w:t>
      </w:r>
      <w:r>
        <w:rPr>
          <w:rFonts w:ascii="ＭＳ Ｐゴシック" w:eastAsia="ＭＳ Ｐゴシック" w:hAnsi="ＭＳ Ｐゴシック" w:hint="eastAsia"/>
          <w:sz w:val="22"/>
        </w:rPr>
        <w:t>ST</w:t>
      </w:r>
      <w:r>
        <w:rPr>
          <w:rFonts w:ascii="ＭＳ Ｐゴシック" w:eastAsia="ＭＳ Ｐゴシック" w:hAnsi="ＭＳ Ｐゴシック" w:hint="eastAsia"/>
          <w:sz w:val="22"/>
        </w:rPr>
        <w:t>変化は心筋虚血を推測する所見であり、その所見のあった場合は血圧、血糖等のリスクと合わせて医療機関で判断してもらう必要があります。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②心電図以外からの把握</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心電図検査で異常がないまたは心電図検査を実施していないが、肥満・高血圧・高血糖・脂質異常のリスクがある場合は、隠れ狭心症を想定して（心筋梗塞の</w:t>
      </w:r>
      <w:r>
        <w:rPr>
          <w:rFonts w:ascii="ＭＳ Ｐゴシック" w:eastAsia="ＭＳ Ｐゴシック" w:hAnsi="ＭＳ Ｐゴシック" w:hint="eastAsia"/>
          <w:sz w:val="22"/>
        </w:rPr>
        <w:t>60%</w:t>
      </w:r>
      <w:r>
        <w:rPr>
          <w:rFonts w:ascii="ＭＳ Ｐゴシック" w:eastAsia="ＭＳ Ｐゴシック" w:hAnsi="ＭＳ Ｐゴシック" w:hint="eastAsia"/>
          <w:sz w:val="22"/>
        </w:rPr>
        <w:t>は前駆症状ないため）積極的に保健指導を行う必要</w:t>
      </w:r>
      <w:r>
        <w:rPr>
          <w:rFonts w:ascii="ＭＳ Ｐゴシック" w:eastAsia="ＭＳ Ｐゴシック" w:hAnsi="ＭＳ Ｐゴシック" w:hint="eastAsia"/>
          <w:sz w:val="22"/>
        </w:rPr>
        <w:t>があります。また、虚血性心疾患はメタボリックシンドローム又は</w:t>
      </w:r>
      <w:r>
        <w:rPr>
          <w:rFonts w:ascii="ＭＳ Ｐゴシック" w:eastAsia="ＭＳ Ｐゴシック" w:hAnsi="ＭＳ Ｐゴシック" w:hint="eastAsia"/>
          <w:sz w:val="22"/>
        </w:rPr>
        <w:t>LDL</w:t>
      </w:r>
      <w:r>
        <w:rPr>
          <w:rFonts w:ascii="ＭＳ Ｐゴシック" w:eastAsia="ＭＳ Ｐゴシック" w:hAnsi="ＭＳ Ｐゴシック" w:hint="eastAsia"/>
          <w:sz w:val="22"/>
        </w:rPr>
        <w:t>ｺﾚｽﾃﾛｰﾙに関連することからタイプ別に対象者を把握します。</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69)</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16"/>
        </w:rPr>
      </w:pPr>
      <w:r>
        <w:rPr>
          <w:rFonts w:hint="eastAsia"/>
          <w:noProof/>
        </w:rPr>
        <w:drawing>
          <wp:anchor distT="0" distB="0" distL="114300" distR="114300" simplePos="0" relativeHeight="17" behindDoc="0" locked="0" layoutInCell="1" hidden="0" allowOverlap="1">
            <wp:simplePos x="0" y="0"/>
            <wp:positionH relativeFrom="margin">
              <wp:posOffset>0</wp:posOffset>
            </wp:positionH>
            <wp:positionV relativeFrom="paragraph">
              <wp:posOffset>260985</wp:posOffset>
            </wp:positionV>
            <wp:extent cx="5186680" cy="2388235"/>
            <wp:effectExtent l="0" t="0" r="0" b="0"/>
            <wp:wrapTopAndBottom/>
            <wp:docPr id="1102" name="オブジェクト 0"/>
            <wp:cNvGraphicFramePr/>
            <a:graphic xmlns:a="http://schemas.openxmlformats.org/drawingml/2006/main">
              <a:graphicData uri="http://schemas.openxmlformats.org/drawingml/2006/picture">
                <pic:pic xmlns:pic="http://schemas.openxmlformats.org/drawingml/2006/picture">
                  <pic:nvPicPr>
                    <pic:cNvPr id="1102" name="オブジェクト 0"/>
                    <pic:cNvPicPr/>
                  </pic:nvPicPr>
                  <pic:blipFill>
                    <a:blip r:embed="rId78"/>
                    <a:srcRect b="4205"/>
                    <a:stretch>
                      <a:fillRect/>
                    </a:stretch>
                  </pic:blipFill>
                  <pic:spPr>
                    <a:xfrm>
                      <a:off x="0" y="0"/>
                      <a:ext cx="5186680" cy="2388235"/>
                    </a:xfrm>
                    <a:prstGeom prst="rect">
                      <a:avLst/>
                    </a:prstGeom>
                    <a:ln>
                      <a:noFill/>
                    </a:ln>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69</w:t>
      </w:r>
      <w:r>
        <w:rPr>
          <w:rFonts w:ascii="ＭＳ Ｐゴシック" w:eastAsia="ＭＳ Ｐゴシック" w:hAnsi="ＭＳ Ｐゴシック" w:hint="eastAsia"/>
          <w:sz w:val="22"/>
        </w:rPr>
        <w:t xml:space="preserve">　心血管病をおこしやすいひと</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R4</w:t>
      </w:r>
      <w:r>
        <w:rPr>
          <w:rFonts w:ascii="ＭＳ Ｐゴシック" w:eastAsia="ＭＳ Ｐゴシック" w:hAnsi="ＭＳ Ｐゴシック" w:hint="eastAsia"/>
          <w:sz w:val="22"/>
        </w:rPr>
        <w:t xml:space="preserve">沖・治　</w:t>
      </w:r>
      <w:r>
        <w:rPr>
          <w:rFonts w:ascii="ＭＳ Ｐゴシック" w:eastAsia="ＭＳ Ｐゴシック" w:hAnsi="ＭＳ Ｐゴシック" w:hint="eastAsia"/>
          <w:sz w:val="22"/>
        </w:rPr>
        <w:t>1-10</w:t>
      </w:r>
      <w:r>
        <w:rPr>
          <w:rFonts w:ascii="ＭＳ Ｐゴシック" w:eastAsia="ＭＳ Ｐゴシック" w:hAnsi="ＭＳ Ｐゴシック" w:hint="eastAsia"/>
          <w:sz w:val="22"/>
        </w:rPr>
        <w:t>）</w:t>
      </w:r>
    </w:p>
    <w:p w:rsidR="00584782" w:rsidRDefault="003A4011">
      <w:pPr>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出典：令和４年度版　なぜ治療が必要なのかを学習するための教材</w:t>
      </w:r>
    </w:p>
    <w:p w:rsidR="00584782" w:rsidRDefault="003A4011">
      <w:pPr>
        <w:jc w:val="right"/>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沖縄県ヘルスアップ支援事業</w:t>
      </w:r>
      <w:r>
        <w:rPr>
          <w:rFonts w:ascii="ＭＳ Ｐゴシック" w:eastAsia="ＭＳ Ｐゴシック" w:hAnsi="ＭＳ Ｐゴシック" w:hint="eastAsia"/>
          <w:sz w:val="16"/>
        </w:rPr>
        <w:t>)</w:t>
      </w:r>
    </w:p>
    <w:p w:rsidR="00584782" w:rsidRDefault="003A4011">
      <w:pPr>
        <w:ind w:leftChars="100" w:left="430"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Ａ：メタボタイプについては、第</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章「</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．肥満・メタボリックシンドローム重症化予防」（図表</w:t>
      </w:r>
      <w:r>
        <w:rPr>
          <w:rFonts w:ascii="ＭＳ Ｐゴシック" w:eastAsia="ＭＳ Ｐゴシック" w:hAnsi="ＭＳ Ｐゴシック" w:hint="eastAsia"/>
          <w:sz w:val="22"/>
        </w:rPr>
        <w:t>63</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）を参照します。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Ｂ：</w:t>
      </w:r>
      <w:r>
        <w:rPr>
          <w:rFonts w:ascii="ＭＳ Ｐゴシック" w:eastAsia="ＭＳ Ｐゴシック" w:hAnsi="ＭＳ Ｐゴシック" w:hint="eastAsia"/>
          <w:sz w:val="22"/>
        </w:rPr>
        <w:t>LDL</w:t>
      </w:r>
      <w:r>
        <w:rPr>
          <w:rFonts w:ascii="ＭＳ Ｐゴシック" w:eastAsia="ＭＳ Ｐゴシック" w:hAnsi="ＭＳ Ｐゴシック" w:hint="eastAsia"/>
          <w:sz w:val="22"/>
        </w:rPr>
        <w:t>コレステロールタイプ（図表</w:t>
      </w:r>
      <w:r>
        <w:rPr>
          <w:rFonts w:ascii="ＭＳ Ｐゴシック" w:eastAsia="ＭＳ Ｐゴシック" w:hAnsi="ＭＳ Ｐゴシック" w:hint="eastAsia"/>
          <w:sz w:val="22"/>
        </w:rPr>
        <w:t>70</w:t>
      </w:r>
      <w:r>
        <w:rPr>
          <w:rFonts w:ascii="ＭＳ Ｐゴシック" w:eastAsia="ＭＳ Ｐゴシック" w:hAnsi="ＭＳ Ｐゴシック" w:hint="eastAsia"/>
          <w:sz w:val="22"/>
        </w:rPr>
        <w:t>）</w:t>
      </w:r>
    </w:p>
    <w:p w:rsidR="00584782" w:rsidRDefault="00584782">
      <w:pPr>
        <w:rPr>
          <w:rFonts w:ascii="ＭＳ Ｐゴシック" w:eastAsia="ＭＳ Ｐゴシック" w:hAnsi="ＭＳ Ｐゴシック"/>
          <w:sz w:val="22"/>
        </w:rPr>
      </w:pPr>
    </w:p>
    <w:p w:rsidR="00584782" w:rsidRDefault="003A4011">
      <w:pPr>
        <w:ind w:firstLineChars="50" w:firstLine="105"/>
        <w:rPr>
          <w:rFonts w:ascii="ＭＳ Ｐゴシック" w:eastAsia="ＭＳ Ｐゴシック" w:hAnsi="ＭＳ Ｐゴシック"/>
          <w:sz w:val="22"/>
        </w:rPr>
      </w:pPr>
      <w:r>
        <w:rPr>
          <w:rFonts w:hint="eastAsia"/>
          <w:noProof/>
        </w:rPr>
        <w:drawing>
          <wp:anchor distT="0" distB="0" distL="114300" distR="114300" simplePos="0" relativeHeight="8" behindDoc="0" locked="0" layoutInCell="1" hidden="0" allowOverlap="1">
            <wp:simplePos x="0" y="0"/>
            <wp:positionH relativeFrom="column">
              <wp:posOffset>71120</wp:posOffset>
            </wp:positionH>
            <wp:positionV relativeFrom="paragraph">
              <wp:posOffset>376555</wp:posOffset>
            </wp:positionV>
            <wp:extent cx="5576570" cy="3331845"/>
            <wp:effectExtent l="23495" t="23495" r="24130" b="24130"/>
            <wp:wrapTopAndBottom/>
            <wp:docPr id="1103" name="図 6"/>
            <wp:cNvGraphicFramePr/>
            <a:graphic xmlns:a="http://schemas.openxmlformats.org/drawingml/2006/main">
              <a:graphicData uri="http://schemas.openxmlformats.org/drawingml/2006/picture">
                <pic:pic xmlns:pic="http://schemas.openxmlformats.org/drawingml/2006/picture">
                  <pic:nvPicPr>
                    <pic:cNvPr id="1103" name="図 6"/>
                    <pic:cNvPicPr>
                      <a:picLocks noChangeAspect="1" noChangeArrowheads="1"/>
                    </pic:cNvPicPr>
                  </pic:nvPicPr>
                  <pic:blipFill>
                    <a:blip r:embed="rId79"/>
                    <a:stretch>
                      <a:fillRect/>
                    </a:stretch>
                  </pic:blipFill>
                  <pic:spPr>
                    <a:xfrm>
                      <a:off x="0" y="0"/>
                      <a:ext cx="5576570" cy="3331845"/>
                    </a:xfrm>
                    <a:prstGeom prst="rect">
                      <a:avLst/>
                    </a:prstGeom>
                    <a:noFill/>
                    <a:ln>
                      <a:solidFill>
                        <a:schemeClr val="accent1">
                          <a:shade val="15000"/>
                        </a:schemeClr>
                      </a:solidFill>
                    </a:ln>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70</w:t>
      </w:r>
      <w:r>
        <w:rPr>
          <w:rFonts w:ascii="ＭＳ Ｐゴシック" w:eastAsia="ＭＳ Ｐゴシック" w:hAnsi="ＭＳ Ｐゴシック" w:hint="eastAsia"/>
          <w:sz w:val="22"/>
        </w:rPr>
        <w:t xml:space="preserve">　冠動脈疾患予防からみたＬＤＬコレ</w:t>
      </w:r>
      <w:r>
        <w:rPr>
          <w:rFonts w:ascii="ＭＳ Ｐゴシック" w:eastAsia="ＭＳ Ｐゴシック" w:hAnsi="ＭＳ Ｐゴシック" w:hint="eastAsia"/>
          <w:sz w:val="22"/>
        </w:rPr>
        <w:t>ステロール管理目標</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lastRenderedPageBreak/>
        <w:t>３）　保健指導の実施</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　受診勧奨及び保健指導</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保健指導の実施にあたっては対象者に応じた保健指導を行います。その際、保健指導教材を活用し対象者がイメージしやすいように心がけます。治療が必要にもかかわらず医療機関未受診である場合は受診勧奨を行います。また、過去に治療中であったにもかかわらず中断していることが把握された場合も同様に受診勧奨を行います。治療中であるがリスクがある場合は医療機関と連携した保健指導を行います。</w:t>
      </w:r>
    </w:p>
    <w:p w:rsidR="00584782" w:rsidRDefault="00584782">
      <w:pPr>
        <w:rPr>
          <w:rFonts w:ascii="ＭＳ Ｐゴシック" w:eastAsia="ＭＳ Ｐゴシック" w:hAnsi="ＭＳ Ｐゴシック"/>
          <w:sz w:val="22"/>
        </w:rPr>
      </w:pPr>
    </w:p>
    <w:p w:rsidR="00584782" w:rsidRDefault="003A4011">
      <w:pPr>
        <w:ind w:firstLineChars="100" w:firstLine="210"/>
        <w:rPr>
          <w:rFonts w:ascii="ＭＳ Ｐゴシック" w:eastAsia="ＭＳ Ｐゴシック" w:hAnsi="ＭＳ Ｐゴシック"/>
          <w:sz w:val="18"/>
        </w:rPr>
      </w:pPr>
      <w:r>
        <w:rPr>
          <w:rFonts w:hint="eastAsia"/>
          <w:noProof/>
        </w:rPr>
        <w:drawing>
          <wp:anchor distT="0" distB="0" distL="114300" distR="114300" simplePos="0" relativeHeight="9" behindDoc="0" locked="0" layoutInCell="1" hidden="0" allowOverlap="1">
            <wp:simplePos x="0" y="0"/>
            <wp:positionH relativeFrom="column">
              <wp:posOffset>286385</wp:posOffset>
            </wp:positionH>
            <wp:positionV relativeFrom="paragraph">
              <wp:posOffset>319405</wp:posOffset>
            </wp:positionV>
            <wp:extent cx="4400550" cy="4381500"/>
            <wp:effectExtent l="0" t="0" r="0" b="0"/>
            <wp:wrapTopAndBottom/>
            <wp:docPr id="1104" name="Picture 3"/>
            <wp:cNvGraphicFramePr/>
            <a:graphic xmlns:a="http://schemas.openxmlformats.org/drawingml/2006/main">
              <a:graphicData uri="http://schemas.openxmlformats.org/drawingml/2006/picture">
                <pic:pic xmlns:pic="http://schemas.openxmlformats.org/drawingml/2006/picture">
                  <pic:nvPicPr>
                    <pic:cNvPr id="1104" name="Picture 3"/>
                    <pic:cNvPicPr>
                      <a:picLocks noChangeAspect="1" noChangeArrowheads="1"/>
                    </pic:cNvPicPr>
                  </pic:nvPicPr>
                  <pic:blipFill>
                    <a:blip r:embed="rId80"/>
                    <a:stretch>
                      <a:fillRect/>
                    </a:stretch>
                  </pic:blipFill>
                  <pic:spPr>
                    <a:xfrm>
                      <a:off x="0" y="0"/>
                      <a:ext cx="4400550" cy="4381500"/>
                    </a:xfrm>
                    <a:prstGeom prst="rect">
                      <a:avLst/>
                    </a:prstGeom>
                    <a:noFill/>
                    <a:ln>
                      <a:noFill/>
                    </a:ln>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sz w:val="22"/>
        </w:rPr>
        <w:t>7</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rPr>
        <w:t>令和</w:t>
      </w:r>
      <w:r>
        <w:rPr>
          <w:rFonts w:ascii="ＭＳ Ｐゴシック" w:eastAsia="ＭＳ Ｐゴシック" w:hAnsi="ＭＳ Ｐゴシック" w:hint="eastAsia"/>
        </w:rPr>
        <w:t>4</w:t>
      </w:r>
      <w:r>
        <w:rPr>
          <w:rFonts w:ascii="ＭＳ Ｐゴシック" w:eastAsia="ＭＳ Ｐゴシック" w:hAnsi="ＭＳ Ｐゴシック" w:hint="eastAsia"/>
        </w:rPr>
        <w:t>年度版　なぜ治療が必要なのかを学習するための教材</w:t>
      </w:r>
      <w:r>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沖縄県ヘルスアップ支援事業</w:t>
      </w:r>
      <w:r>
        <w:rPr>
          <w:rFonts w:ascii="ＭＳ Ｐゴシック" w:eastAsia="ＭＳ Ｐゴシック" w:hAnsi="ＭＳ Ｐゴシック" w:hint="eastAsia"/>
          <w:sz w:val="18"/>
        </w:rPr>
        <w:t>)</w:t>
      </w:r>
    </w:p>
    <w:p w:rsidR="00584782" w:rsidRDefault="00584782">
      <w:pPr>
        <w:rPr>
          <w:rFonts w:ascii="ＭＳ Ｐゴシック" w:eastAsia="ＭＳ Ｐゴシック" w:hAnsi="ＭＳ Ｐゴシック"/>
          <w:color w:val="0070C0"/>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（２）　二次健診の実施</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虚血性心疾患重症化予防対象者において健診結果と合わせて血管変化を早期に捉え、介入していく必要があり、対象者へは、二次健診として検討していく必要があります。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「冠動脈疾患の一次予防に関する診療ガイドライン</w:t>
      </w:r>
      <w:r>
        <w:rPr>
          <w:rFonts w:ascii="ＭＳ Ｐゴシック" w:eastAsia="ＭＳ Ｐゴシック" w:hAnsi="ＭＳ Ｐゴシック" w:hint="eastAsia"/>
          <w:sz w:val="22"/>
        </w:rPr>
        <w:t>2023</w:t>
      </w:r>
      <w:r>
        <w:rPr>
          <w:rFonts w:ascii="ＭＳ Ｐゴシック" w:eastAsia="ＭＳ Ｐゴシック" w:hAnsi="ＭＳ Ｐゴシック" w:hint="eastAsia"/>
          <w:sz w:val="22"/>
        </w:rPr>
        <w:t>年改訂版」及び「動脈硬化性疾患予防ガイドライン</w:t>
      </w:r>
      <w:r>
        <w:rPr>
          <w:rFonts w:ascii="ＭＳ Ｐゴシック" w:eastAsia="ＭＳ Ｐゴシック" w:hAnsi="ＭＳ Ｐゴシック" w:hint="eastAsia"/>
          <w:sz w:val="22"/>
        </w:rPr>
        <w:t>202</w:t>
      </w:r>
      <w:r>
        <w:rPr>
          <w:rFonts w:ascii="ＭＳ Ｐゴシック" w:eastAsia="ＭＳ Ｐゴシック" w:hAnsi="ＭＳ Ｐゴシック" w:hint="eastAsia"/>
          <w:sz w:val="22"/>
        </w:rPr>
        <w:t>年版」においては、一次予防における動脈硬化の評価法は非侵襲的評価法が中心であると記載されており、下記の検査方法が用いられています。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①形態学的検査法・・・頸動脈エコー検査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頸動脈内膜中膜厚（ＩＭＴ）</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、冠動脈ＣＴ（冠動脈石灰化）</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②血管機能検査法・・・足関節上腕血圧比（ＡＢＩ）、脈波伝搬速度（ＰＷＶ）、心臓足首血管指数</w:t>
      </w:r>
    </w:p>
    <w:p w:rsidR="00584782" w:rsidRDefault="003A4011">
      <w:pPr>
        <w:ind w:firstLineChars="1100" w:firstLine="2420"/>
        <w:rPr>
          <w:rFonts w:ascii="ＭＳ Ｐゴシック" w:eastAsia="ＭＳ Ｐゴシック" w:hAnsi="ＭＳ Ｐゴシック"/>
          <w:sz w:val="22"/>
        </w:rPr>
      </w:pPr>
      <w:r>
        <w:rPr>
          <w:rFonts w:ascii="ＭＳ Ｐゴシック" w:eastAsia="ＭＳ Ｐゴシック" w:hAnsi="ＭＳ Ｐゴシック" w:hint="eastAsia"/>
          <w:sz w:val="22"/>
        </w:rPr>
        <w:t>（ＣＡＶＩ）、血管内皮機能（ＦＭＤ）</w:t>
      </w:r>
    </w:p>
    <w:p w:rsidR="00584782" w:rsidRDefault="003A4011">
      <w:pPr>
        <w:rPr>
          <w:rFonts w:ascii="ＭＳ Ｐゴシック" w:eastAsia="ＭＳ Ｐゴシック" w:hAnsi="ＭＳ Ｐゴシック"/>
          <w:sz w:val="20"/>
        </w:rPr>
      </w:pPr>
      <w:r>
        <w:rPr>
          <w:rFonts w:ascii="ＭＳ Ｐゴシック" w:eastAsia="ＭＳ Ｐゴシック" w:hAnsi="ＭＳ Ｐゴシック" w:hint="eastAsia"/>
          <w:sz w:val="22"/>
        </w:rPr>
        <w:lastRenderedPageBreak/>
        <w:t>（</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　対象者の管理</w:t>
      </w:r>
      <w:r>
        <w:rPr>
          <w:rFonts w:ascii="ＭＳ Ｐゴシック" w:eastAsia="ＭＳ Ｐゴシック" w:hAnsi="ＭＳ Ｐゴシック" w:hint="eastAsia"/>
          <w:sz w:val="20"/>
        </w:rPr>
        <w:tab/>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重症化しないための継続的な健診受診及び治療が必要な者への継続的な医療受診ができるよう、台帳を作成し経過を把握します。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４）　医療との連携</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虚血性心疾患重症化予防のために、未治療や治療中断であることを把握した場合には受診勧奨を行い治療中の者へは血管リスク低減に</w:t>
      </w:r>
      <w:r>
        <w:rPr>
          <w:rFonts w:ascii="ＭＳ Ｐゴシック" w:eastAsia="ＭＳ Ｐゴシック" w:hAnsi="ＭＳ Ｐゴシック" w:hint="eastAsia"/>
          <w:sz w:val="22"/>
        </w:rPr>
        <w:t>向けた医療機関と連携した保健指導を実施していきます。医療の情報についてはかかりつけ医や対象者、</w:t>
      </w:r>
      <w:r>
        <w:rPr>
          <w:rFonts w:ascii="ＭＳ Ｐゴシック" w:eastAsia="ＭＳ Ｐゴシック" w:hAnsi="ＭＳ Ｐゴシック" w:hint="eastAsia"/>
          <w:sz w:val="22"/>
        </w:rPr>
        <w:t>KDB</w:t>
      </w:r>
      <w:r>
        <w:rPr>
          <w:rFonts w:ascii="ＭＳ Ｐゴシック" w:eastAsia="ＭＳ Ｐゴシック" w:hAnsi="ＭＳ Ｐゴシック" w:hint="eastAsia"/>
          <w:sz w:val="22"/>
        </w:rPr>
        <w:t>等を活用しデータを収集します。</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５）　高齢者福祉部門（介護保険部局）との連携</w:t>
      </w:r>
    </w:p>
    <w:p w:rsidR="00584782" w:rsidRDefault="003A4011">
      <w:pPr>
        <w:ind w:leftChars="-1750" w:left="-3675" w:firstLineChars="1800" w:firstLine="3960"/>
        <w:rPr>
          <w:rFonts w:ascii="ＭＳ Ｐゴシック" w:eastAsia="ＭＳ Ｐゴシック" w:hAnsi="ＭＳ Ｐゴシック"/>
          <w:sz w:val="22"/>
        </w:rPr>
      </w:pPr>
      <w:r>
        <w:rPr>
          <w:rFonts w:ascii="ＭＳ Ｐゴシック" w:eastAsia="ＭＳ Ｐゴシック" w:hAnsi="ＭＳ Ｐゴシック" w:hint="eastAsia"/>
          <w:sz w:val="22"/>
        </w:rPr>
        <w:t>高齢者の保健事業と介護予防の一体的実施を行っていく中で、地域包括支援センターと情報を共有し、連携していきます。　　　　　　　　　　　　し、連携していきます。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６）　評価</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評価を行うにあたっては，短期的評価・中長期的評価の視点で考えていきます。短期的評価についてはデータヘルス計画評価等と合わせ年</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回行います。その際は</w:t>
      </w:r>
      <w:r>
        <w:rPr>
          <w:rFonts w:ascii="ＭＳ Ｐゴシック" w:eastAsia="ＭＳ Ｐゴシック" w:hAnsi="ＭＳ Ｐゴシック" w:hint="eastAsia"/>
          <w:sz w:val="22"/>
        </w:rPr>
        <w:t>KDB</w:t>
      </w:r>
      <w:r>
        <w:rPr>
          <w:rFonts w:ascii="ＭＳ Ｐゴシック" w:eastAsia="ＭＳ Ｐゴシック" w:hAnsi="ＭＳ Ｐゴシック" w:hint="eastAsia"/>
          <w:sz w:val="22"/>
        </w:rPr>
        <w:t>等の情</w:t>
      </w:r>
      <w:r>
        <w:rPr>
          <w:rFonts w:ascii="ＭＳ Ｐゴシック" w:eastAsia="ＭＳ Ｐゴシック" w:hAnsi="ＭＳ Ｐゴシック" w:hint="eastAsia"/>
          <w:sz w:val="22"/>
        </w:rPr>
        <w:t>報を活用する。</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また、中長期的評価においては他の糖尿病性腎症・脳血管疾患等と合わせて行っていきます。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７）　実施期間及びスケジュール</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月　対象者の選定基準の決定</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5</w:t>
      </w:r>
      <w:r>
        <w:rPr>
          <w:rFonts w:ascii="ＭＳ Ｐゴシック" w:eastAsia="ＭＳ Ｐゴシック" w:hAnsi="ＭＳ Ｐゴシック" w:hint="eastAsia"/>
          <w:sz w:val="22"/>
        </w:rPr>
        <w:t>月　対象者の抽出（概数の試算）、介入方法、実施方法の決定</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月～特定健診結果が届き次第台帳に記載。台帳記載後順次、対象者へ介入（通年）</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b/>
          <w:sz w:val="32"/>
        </w:rPr>
        <w:lastRenderedPageBreak/>
        <w:t>４．脳血管疾患重症化予防</w:t>
      </w:r>
      <w:r>
        <w:rPr>
          <w:rFonts w:ascii="ＭＳ Ｐゴシック" w:eastAsia="ＭＳ Ｐゴシック" w:hAnsi="ＭＳ Ｐゴシック" w:hint="eastAsia"/>
          <w:b/>
          <w:sz w:val="22"/>
        </w:rPr>
        <w:t xml:space="preserve">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8"/>
        </w:rPr>
        <w:t>１）　基本的な考え方</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b/>
          <w:sz w:val="22"/>
        </w:rPr>
        <w:t xml:space="preserve">　　</w:t>
      </w:r>
      <w:r>
        <w:rPr>
          <w:rFonts w:ascii="ＭＳ Ｐゴシック" w:eastAsia="ＭＳ Ｐゴシック" w:hAnsi="ＭＳ Ｐゴシック" w:hint="eastAsia"/>
          <w:sz w:val="22"/>
        </w:rPr>
        <w:t>脳血管疾患重症化予防の取組にあたっては脳卒中治療ガイドライン、脳卒中予防への提言、高血圧治療ガイドライン等に基づいて進めます。（図表</w:t>
      </w:r>
      <w:r>
        <w:rPr>
          <w:rFonts w:ascii="ＭＳ Ｐゴシック" w:eastAsia="ＭＳ Ｐゴシック" w:hAnsi="ＭＳ Ｐゴシック" w:hint="eastAsia"/>
          <w:sz w:val="22"/>
        </w:rPr>
        <w:t>72,73</w:t>
      </w:r>
      <w:r>
        <w:rPr>
          <w:rFonts w:ascii="ＭＳ Ｐゴシック" w:eastAsia="ＭＳ Ｐゴシック" w:hAnsi="ＭＳ Ｐゴシック" w:hint="eastAsia"/>
          <w:sz w:val="22"/>
        </w:rPr>
        <w:t>）</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7</w:t>
      </w:r>
      <w:r>
        <w:rPr>
          <w:rFonts w:ascii="ＭＳ Ｐゴシック" w:eastAsia="ＭＳ Ｐゴシック" w:hAnsi="ＭＳ Ｐゴシック" w:hint="eastAsia"/>
          <w:sz w:val="22"/>
        </w:rPr>
        <w:t>2</w:t>
      </w:r>
      <w:r>
        <w:rPr>
          <w:rFonts w:ascii="ＭＳ Ｐゴシック" w:eastAsia="ＭＳ Ｐゴシック" w:hAnsi="ＭＳ Ｐゴシック" w:hint="eastAsia"/>
          <w:sz w:val="22"/>
        </w:rPr>
        <w:t xml:space="preserve">　脳卒中の分類</w:t>
      </w:r>
      <w:r>
        <w:rPr>
          <w:rFonts w:ascii="ＭＳ Ｐゴシック" w:eastAsia="ＭＳ Ｐゴシック" w:hAnsi="ＭＳ Ｐゴシック" w:hint="eastAsia"/>
          <w:sz w:val="22"/>
        </w:rPr>
        <w:t xml:space="preserve"> </w:t>
      </w:r>
    </w:p>
    <w:p w:rsidR="00584782" w:rsidRDefault="00584782">
      <w:pPr>
        <w:ind w:firstLineChars="300" w:firstLine="720"/>
        <w:rPr>
          <w:rFonts w:ascii="HGPｺﾞｼｯｸE" w:eastAsia="HGPｺﾞｼｯｸE" w:hAnsi="HGPｺﾞｼｯｸE"/>
          <w:sz w:val="24"/>
        </w:rPr>
      </w:pPr>
    </w:p>
    <w:p w:rsidR="00584782" w:rsidRDefault="003A4011">
      <w:pPr>
        <w:ind w:firstLineChars="200" w:firstLine="420"/>
        <w:rPr>
          <w:rFonts w:ascii="HGPｺﾞｼｯｸE" w:eastAsia="HGPｺﾞｼｯｸE" w:hAnsi="HGPｺﾞｼｯｸE"/>
          <w:sz w:val="24"/>
        </w:rPr>
      </w:pPr>
      <w:r>
        <w:rPr>
          <w:rFonts w:hint="eastAsia"/>
          <w:noProof/>
        </w:rPr>
        <w:drawing>
          <wp:anchor distT="0" distB="0" distL="114300" distR="114300" simplePos="0" relativeHeight="10" behindDoc="0" locked="0" layoutInCell="1" hidden="0" allowOverlap="1">
            <wp:simplePos x="0" y="0"/>
            <wp:positionH relativeFrom="column">
              <wp:posOffset>161290</wp:posOffset>
            </wp:positionH>
            <wp:positionV relativeFrom="paragraph">
              <wp:posOffset>266700</wp:posOffset>
            </wp:positionV>
            <wp:extent cx="5363845" cy="2537460"/>
            <wp:effectExtent l="0" t="0" r="0" b="0"/>
            <wp:wrapTopAndBottom/>
            <wp:docPr id="1105" name="オブジェクト 0"/>
            <wp:cNvGraphicFramePr/>
            <a:graphic xmlns:a="http://schemas.openxmlformats.org/drawingml/2006/main">
              <a:graphicData uri="http://schemas.openxmlformats.org/drawingml/2006/picture">
                <pic:pic xmlns:pic="http://schemas.openxmlformats.org/drawingml/2006/picture">
                  <pic:nvPicPr>
                    <pic:cNvPr id="1105" name="オブジェクト 0"/>
                    <pic:cNvPicPr/>
                  </pic:nvPicPr>
                  <pic:blipFill>
                    <a:blip r:embed="rId81"/>
                    <a:stretch>
                      <a:fillRect/>
                    </a:stretch>
                  </pic:blipFill>
                  <pic:spPr>
                    <a:xfrm>
                      <a:off x="0" y="0"/>
                      <a:ext cx="5363845" cy="2537460"/>
                    </a:xfrm>
                    <a:prstGeom prst="rect">
                      <a:avLst/>
                    </a:prstGeom>
                  </pic:spPr>
                </pic:pic>
              </a:graphicData>
            </a:graphic>
          </wp:anchor>
        </w:drawing>
      </w:r>
      <w:r>
        <w:rPr>
          <w:rFonts w:ascii="HGPｺﾞｼｯｸE" w:eastAsia="HGPｺﾞｼｯｸE" w:hAnsi="HGPｺﾞｼｯｸE" w:hint="eastAsia"/>
          <w:sz w:val="24"/>
        </w:rPr>
        <w:t>【脳卒中の分類</w:t>
      </w:r>
      <w:r>
        <w:rPr>
          <w:rFonts w:ascii="HGPｺﾞｼｯｸE" w:eastAsia="HGPｺﾞｼｯｸE" w:hAnsi="HGPｺﾞｼｯｸE"/>
          <w:sz w:val="24"/>
        </w:rPr>
        <w:t>】</w:t>
      </w:r>
      <w:r>
        <w:rPr>
          <w:rFonts w:ascii="ＭＳ Ｐゴシック" w:eastAsia="ＭＳ Ｐゴシック" w:hAnsi="ＭＳ Ｐゴシック" w:hint="eastAsia"/>
          <w:b/>
          <w:sz w:val="22"/>
        </w:rPr>
        <w:t xml:space="preserve">　　　</w:t>
      </w:r>
    </w:p>
    <w:p w:rsidR="00584782" w:rsidRDefault="003A4011">
      <w:pPr>
        <w:ind w:left="45" w:firstLine="180"/>
        <w:jc w:val="center"/>
        <w:rPr>
          <w:rFonts w:ascii="HGPｺﾞｼｯｸM" w:eastAsia="HGPｺﾞｼｯｸM" w:hAnsi="HGPｺﾞｼｯｸM"/>
          <w:sz w:val="18"/>
        </w:rPr>
      </w:pPr>
      <w:r>
        <w:rPr>
          <w:rFonts w:ascii="HGPｺﾞｼｯｸM" w:eastAsia="HGPｺﾞｼｯｸM" w:hAnsi="HGPｺﾞｼｯｸM" w:hint="eastAsia"/>
          <w:sz w:val="18"/>
        </w:rPr>
        <w:t xml:space="preserve">　　　　　　　　　　　　　　　　　　　　　　　　　　　　　　　　　　　　　　　　　　（脳卒中予防の提言より引用）</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7</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 xml:space="preserve">　脳血管疾患とリスク因子</w:t>
      </w: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b/>
          <w:sz w:val="22"/>
        </w:rPr>
      </w:pPr>
      <w:r>
        <w:rPr>
          <w:noProof/>
        </w:rPr>
        <w:drawing>
          <wp:anchor distT="0" distB="0" distL="114300" distR="114300" simplePos="0" relativeHeight="18" behindDoc="0" locked="0" layoutInCell="1" hidden="0" allowOverlap="1">
            <wp:simplePos x="0" y="0"/>
            <wp:positionH relativeFrom="column">
              <wp:posOffset>4445</wp:posOffset>
            </wp:positionH>
            <wp:positionV relativeFrom="paragraph">
              <wp:posOffset>20955</wp:posOffset>
            </wp:positionV>
            <wp:extent cx="5595620" cy="1781175"/>
            <wp:effectExtent l="0" t="0" r="0" b="0"/>
            <wp:wrapTopAndBottom/>
            <wp:docPr id="1106" name="Picture 6"/>
            <wp:cNvGraphicFramePr/>
            <a:graphic xmlns:a="http://schemas.openxmlformats.org/drawingml/2006/main">
              <a:graphicData uri="http://schemas.openxmlformats.org/drawingml/2006/picture">
                <pic:pic xmlns:pic="http://schemas.openxmlformats.org/drawingml/2006/picture">
                  <pic:nvPicPr>
                    <pic:cNvPr id="1106" name="Picture 6"/>
                    <pic:cNvPicPr>
                      <a:picLocks noChangeAspect="1" noChangeArrowheads="1"/>
                    </pic:cNvPicPr>
                  </pic:nvPicPr>
                  <pic:blipFill>
                    <a:blip r:embed="rId82"/>
                    <a:stretch>
                      <a:fillRect/>
                    </a:stretch>
                  </pic:blipFill>
                  <pic:spPr>
                    <a:xfrm>
                      <a:off x="0" y="0"/>
                      <a:ext cx="5595620" cy="1781175"/>
                    </a:xfrm>
                    <a:prstGeom prst="rect">
                      <a:avLst/>
                    </a:prstGeom>
                    <a:noFill/>
                    <a:ln>
                      <a:noFill/>
                    </a:ln>
                  </pic:spPr>
                </pic:pic>
              </a:graphicData>
            </a:graphic>
          </wp:anchor>
        </w:drawing>
      </w:r>
    </w:p>
    <w:p w:rsidR="00584782" w:rsidRDefault="00584782">
      <w:pPr>
        <w:rPr>
          <w:rFonts w:ascii="ＭＳ Ｐゴシック" w:eastAsia="ＭＳ Ｐゴシック" w:hAnsi="ＭＳ Ｐゴシック"/>
          <w:b/>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lastRenderedPageBreak/>
        <w:t>２）　対象者の明確化</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（１）　重症化予防対象者の抽出　</w:t>
      </w:r>
    </w:p>
    <w:p w:rsidR="00584782" w:rsidRDefault="003A4011">
      <w:pPr>
        <w:ind w:firstLineChars="100" w:firstLine="220"/>
        <w:rPr>
          <w:rFonts w:ascii="ＭＳ Ｐゴシック" w:eastAsia="ＭＳ Ｐゴシック" w:hAnsi="ＭＳ Ｐゴシック"/>
          <w:color w:val="0070C0"/>
          <w:sz w:val="22"/>
        </w:rPr>
      </w:pPr>
      <w:r>
        <w:rPr>
          <w:rFonts w:ascii="ＭＳ Ｐゴシック" w:eastAsia="ＭＳ Ｐゴシック" w:hAnsi="ＭＳ Ｐゴシック" w:hint="eastAsia"/>
          <w:sz w:val="22"/>
        </w:rPr>
        <w:t>脳血管疾患において高血圧は、最も重要な危険因子です。</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74</w:t>
      </w:r>
      <w:r>
        <w:rPr>
          <w:rFonts w:ascii="ＭＳ Ｐゴシック" w:eastAsia="ＭＳ Ｐゴシック" w:hAnsi="ＭＳ Ｐゴシック"/>
          <w:sz w:val="22"/>
        </w:rPr>
        <w:t>)</w:t>
      </w:r>
      <w:r>
        <w:rPr>
          <w:rFonts w:ascii="ＭＳ Ｐゴシック" w:eastAsia="ＭＳ Ｐゴシック" w:hAnsi="ＭＳ Ｐゴシック" w:hint="eastAsia"/>
          <w:sz w:val="22"/>
        </w:rPr>
        <w:t>でみると</w:t>
      </w:r>
      <w:r>
        <w:rPr>
          <w:rFonts w:ascii="ＭＳ Ｐゴシック" w:eastAsia="ＭＳ Ｐゴシック" w:hAnsi="ＭＳ Ｐゴシック" w:hint="eastAsia"/>
          <w:sz w:val="22"/>
        </w:rPr>
        <w:t>、高血圧治療者</w:t>
      </w:r>
      <w:r>
        <w:rPr>
          <w:rFonts w:ascii="ＭＳ Ｐゴシック" w:eastAsia="ＭＳ Ｐゴシック" w:hAnsi="ＭＳ Ｐゴシック" w:hint="eastAsia"/>
          <w:sz w:val="22"/>
        </w:rPr>
        <w:t>1,321</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(H)</w:t>
      </w:r>
      <w:r>
        <w:rPr>
          <w:rFonts w:ascii="ＭＳ Ｐゴシック" w:eastAsia="ＭＳ Ｐゴシック" w:hAnsi="ＭＳ Ｐゴシック" w:hint="eastAsia"/>
          <w:sz w:val="22"/>
        </w:rPr>
        <w:t>のうち、既に脳血管疾患を起こしている人が</w:t>
      </w:r>
      <w:r>
        <w:rPr>
          <w:rFonts w:ascii="ＭＳ Ｐゴシック" w:eastAsia="ＭＳ Ｐゴシック" w:hAnsi="ＭＳ Ｐゴシック" w:hint="eastAsia"/>
          <w:sz w:val="22"/>
        </w:rPr>
        <w:t>233</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(17,6.%</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O)</w:t>
      </w:r>
      <w:r>
        <w:rPr>
          <w:rFonts w:ascii="ＭＳ Ｐゴシック" w:eastAsia="ＭＳ Ｐゴシック" w:hAnsi="ＭＳ Ｐゴシック" w:hint="eastAsia"/>
          <w:sz w:val="22"/>
        </w:rPr>
        <w:t>でした。</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健診結果をみるとⅡ度高血圧以上が</w:t>
      </w:r>
      <w:r>
        <w:rPr>
          <w:rFonts w:ascii="ＭＳ Ｐゴシック" w:eastAsia="ＭＳ Ｐゴシック" w:hAnsi="ＭＳ Ｐゴシック" w:hint="eastAsia"/>
          <w:sz w:val="22"/>
        </w:rPr>
        <w:t>74</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6.7%</w:t>
      </w:r>
      <w:r>
        <w:rPr>
          <w:rFonts w:ascii="ＭＳ Ｐゴシック" w:eastAsia="ＭＳ Ｐゴシック" w:hAnsi="ＭＳ Ｐゴシック" w:hint="eastAsia"/>
          <w:sz w:val="22"/>
        </w:rPr>
        <w:t>）であり、そのうち</w:t>
      </w:r>
      <w:r>
        <w:rPr>
          <w:rFonts w:ascii="ＭＳ Ｐゴシック" w:eastAsia="ＭＳ Ｐゴシック" w:hAnsi="ＭＳ Ｐゴシック" w:hint="eastAsia"/>
          <w:sz w:val="22"/>
        </w:rPr>
        <w:t>33</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(44.5%)</w:t>
      </w:r>
      <w:r>
        <w:rPr>
          <w:rFonts w:ascii="ＭＳ Ｐゴシック" w:eastAsia="ＭＳ Ｐゴシック" w:hAnsi="ＭＳ Ｐゴシック" w:hint="eastAsia"/>
          <w:sz w:val="22"/>
        </w:rPr>
        <w:t>は未治療者です。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医療機関未受診者の中にはメタボリックシンドローム該当者や血糖などのリスクを有する者もいることから、対象者の状態に応じて受診勧奨を行う必要があります。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また、高血圧治療中であってもⅡ度高血圧以上が</w:t>
      </w:r>
      <w:r>
        <w:rPr>
          <w:rFonts w:ascii="ＭＳ Ｐゴシック" w:eastAsia="ＭＳ Ｐゴシック" w:hAnsi="ＭＳ Ｐゴシック" w:hint="eastAsia"/>
          <w:sz w:val="22"/>
        </w:rPr>
        <w:t>41</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7.8%</w:t>
      </w:r>
      <w:r>
        <w:rPr>
          <w:rFonts w:ascii="ＭＳ Ｐゴシック" w:eastAsia="ＭＳ Ｐゴシック" w:hAnsi="ＭＳ Ｐゴシック" w:hint="eastAsia"/>
          <w:sz w:val="22"/>
        </w:rPr>
        <w:t>）いることがわかりました。治療中でリスクを有する場合は、医療機関と連携した保健指導が必要となってきます</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重症化を予防するための臓器障害を早期に発見するための眼底検査（詳細検査）が、わずか</w:t>
      </w:r>
      <w:r>
        <w:rPr>
          <w:rFonts w:ascii="ＭＳ Ｐゴシック" w:eastAsia="ＭＳ Ｐゴシック" w:hAnsi="ＭＳ Ｐゴシック" w:hint="eastAsia"/>
          <w:sz w:val="22"/>
        </w:rPr>
        <w:t>49</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4.5%</w:t>
      </w:r>
      <w:r>
        <w:rPr>
          <w:rFonts w:ascii="ＭＳ Ｐゴシック" w:eastAsia="ＭＳ Ｐゴシック" w:hAnsi="ＭＳ Ｐゴシック" w:hint="eastAsia"/>
          <w:sz w:val="22"/>
        </w:rPr>
        <w:t>）しか実施していない状況です。しかし、眼底検査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詳細検査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の条件は、Ⅰ度高血圧以上の場合となっていることから、</w:t>
      </w:r>
      <w:r>
        <w:rPr>
          <w:rFonts w:ascii="ＭＳ Ｐゴシック" w:eastAsia="ＭＳ Ｐゴシック" w:hAnsi="ＭＳ Ｐゴシック" w:hint="eastAsia"/>
          <w:sz w:val="22"/>
        </w:rPr>
        <w:t>394</w:t>
      </w:r>
      <w:r>
        <w:rPr>
          <w:rFonts w:ascii="ＭＳ Ｐゴシック" w:eastAsia="ＭＳ Ｐゴシック" w:hAnsi="ＭＳ Ｐゴシック" w:hint="eastAsia"/>
          <w:sz w:val="22"/>
        </w:rPr>
        <w:t>人</w:t>
      </w:r>
      <w:r>
        <w:rPr>
          <w:rFonts w:ascii="ＭＳ Ｐゴシック" w:eastAsia="ＭＳ Ｐゴシック" w:hAnsi="ＭＳ Ｐゴシック" w:hint="eastAsia"/>
          <w:sz w:val="22"/>
        </w:rPr>
        <w:t>(36.2%</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E)</w:t>
      </w:r>
      <w:r>
        <w:rPr>
          <w:rFonts w:ascii="ＭＳ Ｐゴシック" w:eastAsia="ＭＳ Ｐゴシック" w:hAnsi="ＭＳ Ｐゴシック" w:hint="eastAsia"/>
          <w:sz w:val="22"/>
        </w:rPr>
        <w:t>は、眼底検査を実施する必要がありますが、実際は重症化予防の検査がされていません。</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0070C0"/>
          <w:sz w:val="22"/>
        </w:rPr>
        <w:t xml:space="preserve">　</w:t>
      </w:r>
      <w:r>
        <w:rPr>
          <w:rFonts w:ascii="ＭＳ Ｐゴシック" w:eastAsia="ＭＳ Ｐゴシック" w:hAnsi="ＭＳ Ｐゴシック" w:hint="eastAsia"/>
          <w:sz w:val="22"/>
        </w:rPr>
        <w:t>第</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期計画期間中に、眼底検査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詳細検査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の必要な方への実施について、関係機関と実態を共有し、働きかけをしていく必要があります。</w:t>
      </w:r>
    </w:p>
    <w:p w:rsidR="00584782" w:rsidRDefault="00584782">
      <w:pPr>
        <w:rPr>
          <w:rFonts w:ascii="ＭＳ Ｐゴシック" w:eastAsia="ＭＳ Ｐゴシック" w:hAnsi="ＭＳ Ｐゴシック"/>
          <w:color w:val="0070C0"/>
          <w:sz w:val="22"/>
        </w:rPr>
      </w:pPr>
    </w:p>
    <w:p w:rsidR="00584782" w:rsidRDefault="003A4011">
      <w:pPr>
        <w:rPr>
          <w:rFonts w:ascii="ＭＳ Ｐゴシック" w:eastAsia="ＭＳ Ｐゴシック" w:hAnsi="ＭＳ Ｐゴシック"/>
          <w:color w:val="0070C0"/>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7</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 xml:space="preserve">　高血圧重症化予防のためのレセプトと健診データの突合</w:t>
      </w: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103620" cy="4327525"/>
            <wp:effectExtent l="0" t="0" r="0" b="0"/>
            <wp:docPr id="1107" name="オブジェクト 0"/>
            <wp:cNvGraphicFramePr/>
            <a:graphic xmlns:a="http://schemas.openxmlformats.org/drawingml/2006/main">
              <a:graphicData uri="http://schemas.openxmlformats.org/drawingml/2006/picture">
                <pic:pic xmlns:pic="http://schemas.openxmlformats.org/drawingml/2006/picture">
                  <pic:nvPicPr>
                    <pic:cNvPr id="1107" name="オブジェクト 0"/>
                    <pic:cNvPicPr>
                      <a:picLocks noChangeAspect="1"/>
                    </pic:cNvPicPr>
                  </pic:nvPicPr>
                  <pic:blipFill>
                    <a:blip r:embed="rId83"/>
                    <a:stretch>
                      <a:fillRect/>
                    </a:stretch>
                  </pic:blipFill>
                  <pic:spPr>
                    <a:xfrm>
                      <a:off x="0" y="0"/>
                      <a:ext cx="6103620" cy="4327525"/>
                    </a:xfrm>
                    <a:prstGeom prst="rect">
                      <a:avLst/>
                    </a:prstGeom>
                  </pic:spPr>
                </pic:pic>
              </a:graphicData>
            </a:graphic>
          </wp:inline>
        </w:drawing>
      </w:r>
    </w:p>
    <w:p w:rsidR="00584782" w:rsidRDefault="003A4011">
      <w:pPr>
        <w:jc w:val="right"/>
        <w:rPr>
          <w:rFonts w:ascii="ＭＳ Ｐゴシック" w:eastAsia="ＭＳ Ｐゴシック" w:hAnsi="ＭＳ Ｐゴシック"/>
          <w:b/>
          <w:sz w:val="22"/>
        </w:rPr>
      </w:pPr>
      <w:r>
        <w:rPr>
          <w:rFonts w:ascii="ＭＳ Ｐゴシック" w:eastAsia="ＭＳ Ｐゴシック" w:hAnsi="ＭＳ Ｐゴシック" w:hint="eastAsia"/>
          <w:sz w:val="18"/>
        </w:rPr>
        <w:t>出典・参照：</w:t>
      </w:r>
      <w:r>
        <w:rPr>
          <w:rFonts w:ascii="ＭＳ Ｐゴシック" w:eastAsia="ＭＳ Ｐゴシック" w:hAnsi="ＭＳ Ｐゴシック" w:hint="eastAsia"/>
          <w:sz w:val="18"/>
        </w:rPr>
        <w:t>KDB</w:t>
      </w:r>
      <w:r>
        <w:rPr>
          <w:rFonts w:ascii="ＭＳ Ｐゴシック" w:eastAsia="ＭＳ Ｐゴシック" w:hAnsi="ＭＳ Ｐゴシック" w:hint="eastAsia"/>
          <w:sz w:val="18"/>
        </w:rPr>
        <w:t>ｼｽﾃﾑ改変、特定健診等ﾃﾞｰﾀ管理ｼｽﾃﾑ</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　保健指導対象者の明確化と優先順位</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脳血管疾患において高血圧は最大の危険因子であるが、高血圧以外の危険因子との組み合わせにより脳心腎疾患など臓器障害の程度と深く関与しています。そのため健診受診者においても高血圧と他リスク因子で層別化し対象者を明確にしていく必要があります。</w:t>
      </w: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7</w:t>
      </w:r>
      <w:r>
        <w:rPr>
          <w:rFonts w:ascii="ＭＳ Ｐゴシック" w:eastAsia="ＭＳ Ｐゴシック" w:hAnsi="ＭＳ Ｐゴシック" w:hint="eastAsia"/>
          <w:sz w:val="22"/>
        </w:rPr>
        <w:t>5</w:t>
      </w:r>
      <w:r>
        <w:rPr>
          <w:rFonts w:ascii="ＭＳ Ｐゴシック" w:eastAsia="ＭＳ Ｐゴシック" w:hAnsi="ＭＳ Ｐゴシック" w:hint="eastAsia"/>
          <w:sz w:val="22"/>
        </w:rPr>
        <w:t xml:space="preserve">　血圧に基づいた脳心血管リスク層別化</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849620" cy="3562985"/>
            <wp:effectExtent l="0" t="0" r="0" b="0"/>
            <wp:docPr id="1108" name="オブジェクト 0"/>
            <wp:cNvGraphicFramePr/>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84"/>
                    <a:stretch>
                      <a:fillRect/>
                    </a:stretch>
                  </pic:blipFill>
                  <pic:spPr>
                    <a:xfrm>
                      <a:off x="0" y="0"/>
                      <a:ext cx="5849620" cy="3562985"/>
                    </a:xfrm>
                    <a:prstGeom prst="rect">
                      <a:avLst/>
                    </a:prstGeom>
                  </pic:spPr>
                </pic:pic>
              </a:graphicData>
            </a:graphic>
          </wp:inline>
        </w:drawing>
      </w:r>
    </w:p>
    <w:p w:rsidR="00584782" w:rsidRDefault="003A4011">
      <w:pPr>
        <w:rPr>
          <w:rFonts w:ascii="ＭＳ Ｐゴシック" w:eastAsia="ＭＳ Ｐゴシック" w:hAnsi="ＭＳ Ｐゴシック"/>
          <w:sz w:val="18"/>
        </w:rPr>
      </w:pPr>
      <w:r>
        <w:rPr>
          <w:rFonts w:ascii="ＭＳ Ｐゴシック" w:eastAsia="ＭＳ Ｐゴシック" w:hAnsi="ＭＳ Ｐゴシック" w:hint="eastAsia"/>
          <w:b/>
          <w:sz w:val="22"/>
        </w:rPr>
        <w:t xml:space="preserve">　</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18"/>
        </w:rPr>
        <w:t>出典・参照：特定健診等ﾃﾞｰﾀ管理ｼｽﾃﾑ</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75</w:t>
      </w:r>
      <w:r>
        <w:rPr>
          <w:rFonts w:ascii="ＭＳ Ｐゴシック" w:eastAsia="ＭＳ Ｐゴシック" w:hAnsi="ＭＳ Ｐゴシック"/>
          <w:sz w:val="22"/>
        </w:rPr>
        <w:t>)</w:t>
      </w:r>
      <w:r>
        <w:rPr>
          <w:rFonts w:ascii="ＭＳ Ｐゴシック" w:eastAsia="ＭＳ Ｐゴシック" w:hAnsi="ＭＳ Ｐゴシック" w:hint="eastAsia"/>
          <w:sz w:val="22"/>
        </w:rPr>
        <w:t>は、血圧に基づいた脳心血管リスク層別化の表で、降圧薬治療者を除いているため高リスク群にあたる</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Ａ</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については、早急な受診勧奨が必要になってきます。</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（３）心電図検査における心房細動の実態</w:t>
      </w:r>
    </w:p>
    <w:p w:rsidR="00584782" w:rsidRDefault="003A4011">
      <w:pPr>
        <w:rPr>
          <w:rFonts w:ascii="ＭＳ Ｐゴシック" w:eastAsia="ＭＳ Ｐゴシック" w:hAnsi="ＭＳ Ｐゴシック"/>
          <w:sz w:val="22"/>
        </w:rPr>
      </w:pPr>
      <w:r>
        <w:rPr>
          <w:rFonts w:hint="eastAsia"/>
          <w:noProof/>
        </w:rPr>
        <mc:AlternateContent>
          <mc:Choice Requires="wpg">
            <w:drawing>
              <wp:anchor distT="0" distB="0" distL="114300" distR="114300" simplePos="0" relativeHeight="11" behindDoc="1" locked="0" layoutInCell="1" hidden="0" allowOverlap="1">
                <wp:simplePos x="0" y="0"/>
                <wp:positionH relativeFrom="column">
                  <wp:posOffset>-690880</wp:posOffset>
                </wp:positionH>
                <wp:positionV relativeFrom="paragraph">
                  <wp:posOffset>79375</wp:posOffset>
                </wp:positionV>
                <wp:extent cx="1981200" cy="1905000"/>
                <wp:effectExtent l="0" t="0" r="1270" b="6350"/>
                <wp:wrapTight wrapText="bothSides">
                  <wp:wrapPolygon edited="0">
                    <wp:start x="3427" y="36"/>
                    <wp:lineTo x="3427" y="17388"/>
                    <wp:lineTo x="35" y="17770"/>
                    <wp:lineTo x="35" y="20203"/>
                    <wp:lineTo x="3427" y="20858"/>
                    <wp:lineTo x="3427" y="21672"/>
                    <wp:lineTo x="21614" y="21672"/>
                    <wp:lineTo x="21614" y="36"/>
                    <wp:lineTo x="3427" y="36"/>
                  </wp:wrapPolygon>
                </wp:wrapTight>
                <wp:docPr id="1109" name="グループ化 123"/>
                <wp:cNvGraphicFramePr/>
                <a:graphic xmlns:a="http://schemas.openxmlformats.org/drawingml/2006/main">
                  <a:graphicData uri="http://schemas.microsoft.com/office/word/2010/wordprocessingGroup">
                    <wpg:wgp>
                      <wpg:cNvGrpSpPr/>
                      <wpg:grpSpPr>
                        <a:xfrm>
                          <a:off x="0" y="0"/>
                          <a:ext cx="1981200" cy="1905000"/>
                          <a:chOff x="-519379" y="0"/>
                          <a:chExt cx="3329254" cy="2514600"/>
                        </a:xfrm>
                      </wpg:grpSpPr>
                      <pic:pic xmlns:pic="http://schemas.openxmlformats.org/drawingml/2006/picture">
                        <pic:nvPicPr>
                          <pic:cNvPr id="1110" name="図 124"/>
                          <pic:cNvPicPr>
                            <a:picLocks noChangeAspect="1"/>
                          </pic:cNvPicPr>
                        </pic:nvPicPr>
                        <pic:blipFill>
                          <a:blip r:embed="rId85"/>
                          <a:stretch>
                            <a:fillRect/>
                          </a:stretch>
                        </pic:blipFill>
                        <pic:spPr>
                          <a:xfrm>
                            <a:off x="0" y="0"/>
                            <a:ext cx="2809875" cy="2514600"/>
                          </a:xfrm>
                          <a:prstGeom prst="rect">
                            <a:avLst/>
                          </a:prstGeom>
                        </pic:spPr>
                      </pic:pic>
                      <wps:wsp>
                        <wps:cNvPr id="1111" name="テキスト ボックス 125"/>
                        <wps:cNvSpPr txBox="1"/>
                        <wps:spPr>
                          <a:xfrm>
                            <a:off x="-519379" y="2055571"/>
                            <a:ext cx="505791" cy="292532"/>
                          </a:xfrm>
                          <a:prstGeom prst="rect">
                            <a:avLst/>
                          </a:prstGeom>
                          <a:solidFill>
                            <a:sysClr val="window" lastClr="FFFFFF"/>
                          </a:solidFill>
                          <a:ln w="6350">
                            <a:noFill/>
                          </a:ln>
                          <a:effectLst/>
                        </wps:spPr>
                        <wps:txbx>
                          <w:txbxContent>
                            <w:p w:rsidR="00584782" w:rsidRDefault="00584782">
                              <w:pPr>
                                <w:ind w:left="125" w:firstLine="220"/>
                                <w:jc w:val="center"/>
                                <w:rPr>
                                  <w:rFonts w:ascii="HGPｺﾞｼｯｸM" w:eastAsia="HGPｺﾞｼｯｸM" w:hAnsi="HGPｺﾞｼｯｸM"/>
                                  <w:sz w:val="22"/>
                                </w:rPr>
                              </w:pPr>
                            </w:p>
                          </w:txbxContent>
                        </wps:txbx>
                        <wps:bodyPr rot="0" vertOverflow="overflow" horzOverflow="overflow" wrap="square" numCol="1" spcCol="0" rtlCol="0" fromWordArt="0" anchor="t" anchorCtr="0" forceAA="0" compatLnSpc="1"/>
                      </wps:wsp>
                    </wpg:wgp>
                  </a:graphicData>
                </a:graphic>
              </wp:anchor>
            </w:drawing>
          </mc:Choice>
          <mc:Fallback xmlns:cx4="http://schemas.microsoft.com/office/drawing/2016/5/10/chartex" xmlns:cx3="http://schemas.microsoft.com/office/drawing/2016/5/9/chartex" xmlns:cx2="http://schemas.microsoft.com/office/drawing/2015/10/21/chartex">
            <w:pict>
              <v:group id="グループ化 123" style="mso-position-vertical-relative:text;z-index:-503316469;mso-wrap-distance-left:9pt;width:156pt;height:150pt;mso-wrap-mode:tight;mso-position-horizontal-relative:text;position:absolute;margin-left:-54.4pt;margin-top:6.25pt;mso-wrap-distance-bottom:0pt;mso-wrap-distance-right:9pt;mso-wrap-distance-top:0pt;" coordsize="3329254,2514600" coordorigin="-519379,0" o:spid="_x0000_s110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4" style="position:absolute;left:0;top:0;width:2809875;height:2514600;" wrapcoords="0 0 0 21593 21551 21593 21551 0 0 0 " o:spid="_x0000_s1110" filled="f" stroked="f" o:spt="75" type="#_x0000_t75">
                  <v:fill/>
                  <v:imagedata o:title="" r:id="rId86"/>
                  <w10:wrap type="tight" side="both" anchorx="text" anchory="text"/>
                </v:shape>
                <v:shapetype id="_x0000_t202" coordsize="21600,21600" o:spt="202" path="m,l,21600r21600,l21600,xe">
                  <v:stroke joinstyle="miter"/>
                  <v:path gradientshapeok="t" o:connecttype="rect"/>
                </v:shapetype>
                <v:shape id="テキスト ボックス 125" style="position:absolute;left:-519379;top:2055571;width:505791;height:292532;" o:spid="_x0000_s1111" filled="t" fillcolor="#ffffff" stroked="f" strokeweight="0.5pt" o:spt="202" type="#_x0000_t202">
                  <v:fill/>
                  <v:textbox style="layout-flow:horizontal;">
                    <w:txbxContent>
                      <w:p>
                        <w:pPr>
                          <w:pStyle w:val="0"/>
                          <w:ind w:left="125" w:firstLine="220"/>
                          <w:jc w:val="center"/>
                          <w:rPr>
                            <w:rFonts w:hint="default" w:ascii="HGPｺﾞｼｯｸM" w:hAnsi="HGPｺﾞｼｯｸM" w:eastAsia="HGPｺﾞｼｯｸM"/>
                            <w:sz w:val="22"/>
                          </w:rPr>
                        </w:pPr>
                      </w:p>
                    </w:txbxContent>
                  </v:textbox>
                  <v:imagedata o:title=""/>
                  <w10:wrap type="tight" side="both" anchorx="text" anchory="text"/>
                </v:shape>
                <w10:wrap type="tight" side="both" anchorx="text" anchory="text"/>
              </v:group>
            </w:pict>
          </mc:Fallback>
        </mc:AlternateConten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心原性脳塞栓症とは、心臓にできた血栓が血流にのって脳動脈に流れ込み、比較的大きな動脈を突然詰まらせて発症し、脳梗塞の中でも「死亡」や「寝たきり」になる頻度が高くなります。しかし心房細動は心電図検査によって早期に発見することが可能で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76</w:t>
      </w:r>
      <w:r>
        <w:rPr>
          <w:rFonts w:ascii="ＭＳ Ｐゴシック" w:eastAsia="ＭＳ Ｐゴシック" w:hAnsi="ＭＳ Ｐゴシック"/>
          <w:sz w:val="22"/>
        </w:rPr>
        <w:t>)</w:t>
      </w:r>
      <w:r>
        <w:rPr>
          <w:rFonts w:ascii="ＭＳ Ｐゴシック" w:eastAsia="ＭＳ Ｐゴシック" w:hAnsi="ＭＳ Ｐゴシック" w:hint="eastAsia"/>
          <w:sz w:val="22"/>
        </w:rPr>
        <w:t>は、特定健診受診者における心房細動の有所見の状況をみています。</w:t>
      </w:r>
      <w:r>
        <w:rPr>
          <w:rFonts w:ascii="ＭＳ Ｐゴシック" w:eastAsia="ＭＳ Ｐゴシック" w:hAnsi="ＭＳ Ｐゴシック" w:hint="eastAsia"/>
          <w:b/>
          <w:sz w:val="22"/>
        </w:rPr>
        <w:t xml:space="preserve">　　　　　　　　　　　　　　　</w:t>
      </w:r>
    </w:p>
    <w:p w:rsidR="00584782" w:rsidRDefault="003A4011">
      <w:pPr>
        <w:rPr>
          <w:rFonts w:ascii="ＭＳ Ｐゴシック" w:eastAsia="ＭＳ Ｐゴシック" w:hAnsi="ＭＳ Ｐゴシック"/>
          <w:b/>
          <w:sz w:val="22"/>
        </w:rPr>
      </w:pPr>
      <w:r>
        <w:rPr>
          <w:rFonts w:ascii="ＭＳ Ｐゴシック" w:eastAsia="ＭＳ Ｐゴシック" w:hAnsi="ＭＳ Ｐゴシック" w:hint="eastAsia"/>
          <w:noProof/>
          <w:sz w:val="22"/>
        </w:rPr>
        <mc:AlternateContent>
          <mc:Choice Requires="wps">
            <w:drawing>
              <wp:anchor distT="0" distB="0" distL="114300" distR="114300" simplePos="0" relativeHeight="4" behindDoc="0" locked="0" layoutInCell="1" hidden="0" allowOverlap="1">
                <wp:simplePos x="0" y="0"/>
                <wp:positionH relativeFrom="column">
                  <wp:posOffset>-2164080</wp:posOffset>
                </wp:positionH>
                <wp:positionV relativeFrom="paragraph">
                  <wp:posOffset>328295</wp:posOffset>
                </wp:positionV>
                <wp:extent cx="394970" cy="204470"/>
                <wp:effectExtent l="0" t="0" r="635" b="635"/>
                <wp:wrapNone/>
                <wp:docPr id="1112" name="テキスト ボックス 126"/>
                <wp:cNvGraphicFramePr/>
                <a:graphic xmlns:a="http://schemas.openxmlformats.org/drawingml/2006/main">
                  <a:graphicData uri="http://schemas.microsoft.com/office/word/2010/wordprocessingShape">
                    <wps:wsp>
                      <wps:cNvSpPr txBox="1"/>
                      <wps:spPr>
                        <a:xfrm>
                          <a:off x="0" y="0"/>
                          <a:ext cx="394970" cy="204470"/>
                        </a:xfrm>
                        <a:prstGeom prst="rect">
                          <a:avLst/>
                        </a:prstGeom>
                        <a:solidFill>
                          <a:sysClr val="window" lastClr="FFFFFF"/>
                        </a:solidFill>
                        <a:ln w="6350">
                          <a:noFill/>
                        </a:ln>
                        <a:effectLst/>
                      </wps:spPr>
                      <wps:txbx>
                        <w:txbxContent>
                          <w:p w:rsidR="00584782" w:rsidRDefault="00584782">
                            <w:pPr>
                              <w:ind w:left="127" w:firstLine="221"/>
                              <w:jc w:val="center"/>
                              <w:rPr>
                                <w:rFonts w:ascii="HGPｺﾞｼｯｸM" w:eastAsia="HGPｺﾞｼｯｸM" w:hAnsi="HGPｺﾞｼｯｸM"/>
                                <w:b/>
                                <w:sz w:val="22"/>
                              </w:rPr>
                            </w:pPr>
                          </w:p>
                        </w:txbxContent>
                      </wps:txbx>
                      <wps:bodyPr rot="0" vertOverflow="overflow" horzOverflow="overflow" wrap="square" numCol="1" spcCol="0" rtlCol="0" fromWordArt="0" anchor="t" anchorCtr="0" forceAA="0" compatLnSpc="1"/>
                    </wps:wsp>
                  </a:graphicData>
                </a:graphic>
              </wp:anchor>
            </w:drawing>
          </mc:Choice>
          <mc:Fallback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126" style="mso-position-vertical-relative:text;z-index:4;mso-wrap-distance-left:9pt;width:31.1pt;height:16.100000000000001pt;mso-position-horizontal-relative:text;position:absolute;margin-left:-170.4pt;margin-top:25.85pt;mso-wrap-distance-bottom:0pt;mso-wrap-distance-right:9pt;mso-wrap-distance-top:0pt;v-text-anchor:top;" o:spid="_x0000_s1112" o:allowincell="t" o:allowoverlap="t" filled="t" fillcolor="#ffffff" stroked="f" strokeweight="0.5pt" o:spt="202" type="#_x0000_t202">
                <v:fill/>
                <v:textbox style="layout-flow:horizontal;">
                  <w:txbxContent>
                    <w:p>
                      <w:pPr>
                        <w:pStyle w:val="0"/>
                        <w:ind w:left="127" w:firstLine="221"/>
                        <w:jc w:val="center"/>
                        <w:rPr>
                          <w:rFonts w:hint="default" w:ascii="HGPｺﾞｼｯｸM" w:hAnsi="HGPｺﾞｼｯｸM" w:eastAsia="HGPｺﾞｼｯｸM"/>
                          <w:b w:val="1"/>
                          <w:sz w:val="22"/>
                        </w:rPr>
                      </w:pPr>
                    </w:p>
                  </w:txbxContent>
                </v:textbox>
                <v:imagedata o:title=""/>
                <w10:wrap type="none" anchorx="text" anchory="text"/>
              </v:shape>
            </w:pict>
          </mc:Fallback>
        </mc:AlternateContent>
      </w:r>
    </w:p>
    <w:p w:rsidR="00584782" w:rsidRDefault="003A4011">
      <w:pPr>
        <w:ind w:firstLineChars="2150" w:firstLine="4730"/>
        <w:rPr>
          <w:rFonts w:ascii="HGPｺﾞｼｯｸM" w:eastAsia="HGPｺﾞｼｯｸM" w:hAnsi="HGPｺﾞｼｯｸM"/>
          <w:sz w:val="22"/>
        </w:rPr>
      </w:pPr>
      <w:r>
        <w:rPr>
          <w:rFonts w:ascii="HGPｺﾞｼｯｸM" w:eastAsia="HGPｺﾞｼｯｸM" w:hAnsi="HGPｺﾞｼｯｸM" w:hint="eastAsia"/>
          <w:sz w:val="22"/>
        </w:rPr>
        <w:t>（</w:t>
      </w:r>
      <w:r>
        <w:rPr>
          <w:rFonts w:ascii="HGPｺﾞｼｯｸM" w:eastAsia="HGPｺﾞｼｯｸM" w:hAnsi="HGPｺﾞｼｯｸM"/>
          <w:sz w:val="22"/>
        </w:rPr>
        <w:t>脳卒中</w:t>
      </w:r>
      <w:r>
        <w:rPr>
          <w:rFonts w:ascii="HGPｺﾞｼｯｸM" w:eastAsia="HGPｺﾞｼｯｸM" w:hAnsi="HGPｺﾞｼｯｸM" w:hint="eastAsia"/>
          <w:sz w:val="22"/>
        </w:rPr>
        <w:t>予防</w:t>
      </w:r>
      <w:r>
        <w:rPr>
          <w:rFonts w:ascii="HGPｺﾞｼｯｸM" w:eastAsia="HGPｺﾞｼｯｸM" w:hAnsi="HGPｺﾞｼｯｸM"/>
          <w:sz w:val="22"/>
        </w:rPr>
        <w:t>の提言より</w:t>
      </w:r>
      <w:r>
        <w:rPr>
          <w:rFonts w:ascii="HGPｺﾞｼｯｸM" w:eastAsia="HGPｺﾞｼｯｸM" w:hAnsi="HGPｺﾞｼｯｸM" w:hint="eastAsia"/>
          <w:sz w:val="22"/>
        </w:rPr>
        <w:t>引用</w:t>
      </w:r>
      <w:r>
        <w:rPr>
          <w:rFonts w:ascii="HGPｺﾞｼｯｸM" w:eastAsia="HGPｺﾞｼｯｸM" w:hAnsi="HGPｺﾞｼｯｸM"/>
          <w:sz w:val="22"/>
        </w:rPr>
        <w:t>）</w:t>
      </w:r>
    </w:p>
    <w:p w:rsidR="00584782" w:rsidRDefault="00584782">
      <w:pPr>
        <w:rPr>
          <w:rFonts w:ascii="ＭＳ Ｐゴシック" w:eastAsia="ＭＳ Ｐゴシック" w:hAnsi="ＭＳ Ｐゴシック"/>
          <w:b/>
          <w:sz w:val="22"/>
        </w:rPr>
      </w:pPr>
    </w:p>
    <w:p w:rsidR="00584782" w:rsidRDefault="00584782">
      <w:pPr>
        <w:rPr>
          <w:rFonts w:ascii="ＭＳ Ｐゴシック" w:eastAsia="ＭＳ Ｐゴシック" w:hAnsi="ＭＳ Ｐゴシック"/>
          <w:b/>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図表</w:t>
      </w:r>
      <w:r>
        <w:rPr>
          <w:rFonts w:ascii="ＭＳ Ｐゴシック" w:eastAsia="ＭＳ Ｐゴシック" w:hAnsi="ＭＳ Ｐゴシック" w:hint="eastAsia"/>
          <w:sz w:val="22"/>
        </w:rPr>
        <w:t>76</w:t>
      </w:r>
      <w:r>
        <w:rPr>
          <w:rFonts w:ascii="ＭＳ Ｐゴシック" w:eastAsia="ＭＳ Ｐゴシック" w:hAnsi="ＭＳ Ｐゴシック" w:hint="eastAsia"/>
          <w:sz w:val="22"/>
        </w:rPr>
        <w:t xml:space="preserve">　特定健診における心房細動有所見状況</w:t>
      </w:r>
    </w:p>
    <w:p w:rsidR="00584782" w:rsidRDefault="003A4011">
      <w:pPr>
        <w:rPr>
          <w:rFonts w:ascii="ＭＳ Ｐゴシック" w:eastAsia="ＭＳ Ｐゴシック" w:hAnsi="ＭＳ Ｐゴシック"/>
          <w:sz w:val="18"/>
        </w:rPr>
      </w:pPr>
      <w:r>
        <w:rPr>
          <w:rFonts w:hint="eastAsia"/>
          <w:noProof/>
        </w:rPr>
        <w:drawing>
          <wp:inline distT="0" distB="0" distL="203200" distR="203200">
            <wp:extent cx="5849620" cy="2585720"/>
            <wp:effectExtent l="0" t="0" r="0" b="0"/>
            <wp:docPr id="1113" name="オブジェクト 0"/>
            <wp:cNvGraphicFramePr/>
            <a:graphic xmlns:a="http://schemas.openxmlformats.org/drawingml/2006/main">
              <a:graphicData uri="http://schemas.openxmlformats.org/drawingml/2006/picture">
                <pic:pic xmlns:pic="http://schemas.openxmlformats.org/drawingml/2006/picture">
                  <pic:nvPicPr>
                    <pic:cNvPr id="1113" name="オブジェクト 0"/>
                    <pic:cNvPicPr>
                      <a:picLocks noChangeAspect="1"/>
                    </pic:cNvPicPr>
                  </pic:nvPicPr>
                  <pic:blipFill>
                    <a:blip r:embed="rId87"/>
                    <a:stretch>
                      <a:fillRect/>
                    </a:stretch>
                  </pic:blipFill>
                  <pic:spPr>
                    <a:xfrm>
                      <a:off x="0" y="0"/>
                      <a:ext cx="5849620" cy="2585720"/>
                    </a:xfrm>
                    <a:prstGeom prst="rect">
                      <a:avLst/>
                    </a:prstGeom>
                  </pic:spPr>
                </pic:pic>
              </a:graphicData>
            </a:graphic>
          </wp:inline>
        </w:drawing>
      </w:r>
    </w:p>
    <w:p w:rsidR="00584782" w:rsidRDefault="003A4011">
      <w:pPr>
        <w:ind w:firstLineChars="3450" w:firstLine="6210"/>
        <w:rPr>
          <w:rFonts w:ascii="ＭＳ Ｐゴシック" w:eastAsia="ＭＳ Ｐゴシック" w:hAnsi="ＭＳ Ｐゴシック"/>
          <w:sz w:val="18"/>
        </w:rPr>
      </w:pPr>
      <w:r>
        <w:rPr>
          <w:rFonts w:ascii="ＭＳ Ｐゴシック" w:eastAsia="ＭＳ Ｐゴシック" w:hAnsi="ＭＳ Ｐゴシック" w:hint="eastAsia"/>
          <w:sz w:val="18"/>
        </w:rPr>
        <w:t>出典・参照：特定健診等ﾃﾞｰﾀ管理ｼｽﾃﾑ</w:t>
      </w:r>
    </w:p>
    <w:p w:rsidR="00584782" w:rsidRDefault="00584782">
      <w:pPr>
        <w:ind w:firstLineChars="3450" w:firstLine="6210"/>
        <w:rPr>
          <w:rFonts w:ascii="ＭＳ Ｐゴシック" w:eastAsia="ＭＳ Ｐゴシック" w:hAnsi="ＭＳ Ｐゴシック"/>
          <w:sz w:val="18"/>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77</w:t>
      </w:r>
      <w:r>
        <w:rPr>
          <w:rFonts w:ascii="ＭＳ Ｐゴシック" w:eastAsia="ＭＳ Ｐゴシック" w:hAnsi="ＭＳ Ｐゴシック" w:hint="eastAsia"/>
          <w:sz w:val="22"/>
        </w:rPr>
        <w:t xml:space="preserve">　心房細動有所見者の治療状況</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3714750" cy="1085850"/>
            <wp:effectExtent l="0" t="0" r="0" b="0"/>
            <wp:docPr id="1114" name="オブジェクト 0"/>
            <wp:cNvGraphicFramePr/>
            <a:graphic xmlns:a="http://schemas.openxmlformats.org/drawingml/2006/main">
              <a:graphicData uri="http://schemas.openxmlformats.org/drawingml/2006/picture">
                <pic:pic xmlns:pic="http://schemas.openxmlformats.org/drawingml/2006/picture">
                  <pic:nvPicPr>
                    <pic:cNvPr id="1114" name="オブジェクト 0"/>
                    <pic:cNvPicPr>
                      <a:picLocks noChangeAspect="1"/>
                    </pic:cNvPicPr>
                  </pic:nvPicPr>
                  <pic:blipFill>
                    <a:blip r:embed="rId88"/>
                    <a:stretch>
                      <a:fillRect/>
                    </a:stretch>
                  </pic:blipFill>
                  <pic:spPr>
                    <a:xfrm>
                      <a:off x="0" y="0"/>
                      <a:ext cx="3714750" cy="1085850"/>
                    </a:xfrm>
                    <a:prstGeom prst="rect">
                      <a:avLst/>
                    </a:prstGeom>
                  </pic:spPr>
                </pic:pic>
              </a:graphicData>
            </a:graphic>
          </wp:inline>
        </w:drawing>
      </w:r>
    </w:p>
    <w:p w:rsidR="00584782" w:rsidRDefault="003A4011">
      <w:pPr>
        <w:ind w:firstLineChars="3100" w:firstLine="4960"/>
        <w:rPr>
          <w:rFonts w:ascii="HGPｺﾞｼｯｸM" w:eastAsia="HGPｺﾞｼｯｸM" w:hAnsi="HGPｺﾞｼｯｸM"/>
          <w:color w:val="0070C0"/>
          <w:sz w:val="16"/>
        </w:rPr>
      </w:pPr>
      <w:r>
        <w:rPr>
          <w:rFonts w:ascii="HGPｺﾞｼｯｸM" w:eastAsia="HGPｺﾞｼｯｸM" w:hAnsi="HGPｺﾞｼｯｸM" w:hint="eastAsia"/>
          <w:sz w:val="16"/>
        </w:rPr>
        <w:t>本部町調べ</w:t>
      </w:r>
    </w:p>
    <w:p w:rsidR="00584782" w:rsidRDefault="00584782">
      <w:pPr>
        <w:rPr>
          <w:rFonts w:ascii="ＭＳ Ｐゴシック" w:eastAsia="ＭＳ Ｐゴシック" w:hAnsi="ＭＳ Ｐゴシック"/>
          <w:sz w:val="22"/>
        </w:rPr>
      </w:pP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心電図検査において</w:t>
      </w:r>
      <w:r>
        <w:rPr>
          <w:rFonts w:ascii="ＭＳ Ｐゴシック" w:eastAsia="ＭＳ Ｐゴシック" w:hAnsi="ＭＳ Ｐゴシック" w:hint="eastAsia"/>
          <w:sz w:val="22"/>
        </w:rPr>
        <w:t>202</w:t>
      </w:r>
      <w:r>
        <w:rPr>
          <w:rFonts w:ascii="ＭＳ Ｐゴシック" w:eastAsia="ＭＳ Ｐゴシック" w:hAnsi="ＭＳ Ｐゴシック" w:hint="eastAsia"/>
          <w:sz w:val="22"/>
        </w:rPr>
        <w:t>人が心房細動の所見がありました。また、心電図有所見者</w:t>
      </w:r>
      <w:r>
        <w:rPr>
          <w:rFonts w:ascii="ＭＳ Ｐゴシック" w:eastAsia="ＭＳ Ｐゴシック" w:hAnsi="ＭＳ Ｐゴシック" w:hint="eastAsia"/>
          <w:sz w:val="22"/>
        </w:rPr>
        <w:t>202</w:t>
      </w:r>
      <w:r>
        <w:rPr>
          <w:rFonts w:ascii="ＭＳ Ｐゴシック" w:eastAsia="ＭＳ Ｐゴシック" w:hAnsi="ＭＳ Ｐゴシック" w:hint="eastAsia"/>
          <w:sz w:val="22"/>
        </w:rPr>
        <w:t>人のうち</w:t>
      </w:r>
      <w:r>
        <w:rPr>
          <w:rFonts w:ascii="ＭＳ Ｐゴシック" w:eastAsia="ＭＳ Ｐゴシック" w:hAnsi="ＭＳ Ｐゴシック" w:hint="eastAsia"/>
          <w:sz w:val="22"/>
        </w:rPr>
        <w:t>176</w:t>
      </w:r>
      <w:r>
        <w:rPr>
          <w:rFonts w:ascii="ＭＳ Ｐゴシック" w:eastAsia="ＭＳ Ｐゴシック" w:hAnsi="ＭＳ Ｐゴシック" w:hint="eastAsia"/>
          <w:sz w:val="22"/>
        </w:rPr>
        <w:t>人は既に治療が開始されていましたが、</w:t>
      </w:r>
      <w:r>
        <w:rPr>
          <w:rFonts w:ascii="ＭＳ Ｐゴシック" w:eastAsia="ＭＳ Ｐゴシック" w:hAnsi="ＭＳ Ｐゴシック" w:hint="eastAsia"/>
          <w:sz w:val="22"/>
        </w:rPr>
        <w:t>26</w:t>
      </w:r>
      <w:r>
        <w:rPr>
          <w:rFonts w:ascii="ＭＳ Ｐゴシック" w:eastAsia="ＭＳ Ｐゴシック" w:hAnsi="ＭＳ Ｐゴシック" w:hint="eastAsia"/>
          <w:sz w:val="22"/>
        </w:rPr>
        <w:t>人はまだ治療につながっていません。（図表</w:t>
      </w:r>
      <w:r>
        <w:rPr>
          <w:rFonts w:ascii="ＭＳ Ｐゴシック" w:eastAsia="ＭＳ Ｐゴシック" w:hAnsi="ＭＳ Ｐゴシック" w:hint="eastAsia"/>
          <w:sz w:val="22"/>
        </w:rPr>
        <w:t>77</w:t>
      </w:r>
      <w:r>
        <w:rPr>
          <w:rFonts w:ascii="ＭＳ Ｐゴシック" w:eastAsia="ＭＳ Ｐゴシック" w:hAnsi="ＭＳ Ｐゴシック" w:hint="eastAsia"/>
          <w:sz w:val="22"/>
        </w:rPr>
        <w:t>）</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心房細動は脳梗塞のリスクであるため、継続受診の必要性と医療機関の受診勧奨を行う必要があり、そのような対象者を早期発見･早期介入するためにも心電図検査の全数実施が望まれます。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３）　保健指導の実施</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b/>
          <w:sz w:val="22"/>
        </w:rPr>
        <w:t xml:space="preserve">　</w:t>
      </w:r>
      <w:r>
        <w:rPr>
          <w:rFonts w:ascii="ＭＳ Ｐゴシック" w:eastAsia="ＭＳ Ｐゴシック" w:hAnsi="ＭＳ Ｐゴシック" w:hint="eastAsia"/>
          <w:sz w:val="22"/>
        </w:rPr>
        <w:t>（１）　受診勧奨及び保健指導</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保健指導の実施にあたっては対象者に応じた保健指導を行います。その際、保健指導教材を活用して対象者がイメージしやすいように心がけます。治療が必要にもかかわらず医療機関未受診である場合は受診勧奨を行います。また、過去に治療中であったが医療を中断していることが把握された場合も同様に受</w:t>
      </w:r>
      <w:r>
        <w:rPr>
          <w:rFonts w:ascii="ＭＳ Ｐゴシック" w:eastAsia="ＭＳ Ｐゴシック" w:hAnsi="ＭＳ Ｐゴシック" w:hint="eastAsia"/>
          <w:sz w:val="22"/>
        </w:rPr>
        <w:t>診勧奨を行います。治療中であるがリスクがある場合は医療機関と連携した保健指導を行います。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b/>
          <w:sz w:val="22"/>
        </w:rPr>
        <w:t xml:space="preserve"> </w:t>
      </w:r>
      <w:r>
        <w:rPr>
          <w:rFonts w:ascii="ＭＳ Ｐゴシック" w:eastAsia="ＭＳ Ｐゴシック" w:hAnsi="ＭＳ Ｐゴシック" w:hint="eastAsia"/>
          <w:sz w:val="22"/>
        </w:rPr>
        <w:t>（２）　二次健診の実施</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脳血管疾患重症化予防対象者において健診結果と合わせて血管変化を早期に捉え、介入していく必要があり、対象者へは、二次健診として検討していく必要があります。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「動脈硬化性疾患予防ガイドライン</w:t>
      </w:r>
      <w:r>
        <w:rPr>
          <w:rFonts w:ascii="ＭＳ Ｐゴシック" w:eastAsia="ＭＳ Ｐゴシック" w:hAnsi="ＭＳ Ｐゴシック" w:hint="eastAsia"/>
          <w:sz w:val="22"/>
        </w:rPr>
        <w:t>2022</w:t>
      </w:r>
      <w:r>
        <w:rPr>
          <w:rFonts w:ascii="ＭＳ Ｐゴシック" w:eastAsia="ＭＳ Ｐゴシック" w:hAnsi="ＭＳ Ｐゴシック" w:hint="eastAsia"/>
          <w:sz w:val="22"/>
        </w:rPr>
        <w:t>年版」においては、一次予防における動脈硬化の評価法は非侵襲的評価法が中心であると記載されており、下記の検査方法が用いられています。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①形態学的検査法・・・頸動脈エコー検査</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頸動脈内膜中膜厚（ＩＭＴ）</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、冠動脈ＣＴ（冠動脈石灰化）</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②血管機能検査法・・・足関節上腕血圧比（ＡＢＩ）、脈波伝搬速度（ＰＷＶ）、心臓足首血管指数</w:t>
      </w:r>
    </w:p>
    <w:p w:rsidR="00584782" w:rsidRDefault="003A4011">
      <w:pPr>
        <w:ind w:firstLineChars="1100" w:firstLine="2420"/>
        <w:rPr>
          <w:rFonts w:ascii="ＭＳ Ｐゴシック" w:eastAsia="ＭＳ Ｐゴシック" w:hAnsi="ＭＳ Ｐゴシック"/>
          <w:sz w:val="22"/>
        </w:rPr>
      </w:pPr>
      <w:r>
        <w:rPr>
          <w:rFonts w:ascii="ＭＳ Ｐゴシック" w:eastAsia="ＭＳ Ｐゴシック" w:hAnsi="ＭＳ Ｐゴシック" w:hint="eastAsia"/>
          <w:sz w:val="22"/>
        </w:rPr>
        <w:t>（ＣＡＶＩ）、血管内皮機能（ＦＭＤ）</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（３）　対象者の管理</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①　高血圧者の管理</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過去の健診受診歴なども踏まえ、Ⅱ度高血圧以上を対象に血圧、血糖、</w:t>
      </w:r>
      <w:r>
        <w:rPr>
          <w:rFonts w:ascii="ＭＳ Ｐゴシック" w:eastAsia="ＭＳ Ｐゴシック" w:hAnsi="ＭＳ Ｐゴシック" w:hint="eastAsia"/>
          <w:sz w:val="22"/>
        </w:rPr>
        <w:t>eGFR</w:t>
      </w:r>
      <w:r>
        <w:rPr>
          <w:rFonts w:ascii="ＭＳ Ｐゴシック" w:eastAsia="ＭＳ Ｐゴシック" w:hAnsi="ＭＳ Ｐゴシック" w:hint="eastAsia"/>
          <w:sz w:val="22"/>
        </w:rPr>
        <w:t>、尿蛋白、服薬状況の経過を確認し、未治療者や中断者の把握に努め受診勧奨を行っていきます。</w:t>
      </w:r>
    </w:p>
    <w:p w:rsidR="00584782" w:rsidRDefault="00584782">
      <w:pPr>
        <w:rPr>
          <w:rFonts w:ascii="ＭＳ Ｐゴシック" w:eastAsia="ＭＳ Ｐゴシック" w:hAnsi="ＭＳ Ｐゴシック"/>
          <w:color w:val="0070C0"/>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４）　医療との連携</w:t>
      </w:r>
    </w:p>
    <w:p w:rsidR="00584782" w:rsidRDefault="003A4011">
      <w:pPr>
        <w:ind w:firstLineChars="100" w:firstLine="220"/>
        <w:rPr>
          <w:rFonts w:ascii="ＭＳ Ｐゴシック" w:eastAsia="ＭＳ Ｐゴシック" w:hAnsi="ＭＳ Ｐゴシック"/>
          <w:color w:val="0070C0"/>
          <w:sz w:val="22"/>
        </w:rPr>
      </w:pPr>
      <w:r>
        <w:rPr>
          <w:rFonts w:ascii="ＭＳ Ｐゴシック" w:eastAsia="ＭＳ Ｐゴシック" w:hAnsi="ＭＳ Ｐゴシック" w:hint="eastAsia"/>
          <w:sz w:val="22"/>
        </w:rPr>
        <w:t>脳血管疾患重症化予防のために、未治療や治療中断であることを把握した場合には受診勧奨を行い治療中の者へは血管リスク低減に向け</w:t>
      </w:r>
      <w:r>
        <w:rPr>
          <w:rFonts w:ascii="ＭＳ Ｐゴシック" w:eastAsia="ＭＳ Ｐゴシック" w:hAnsi="ＭＳ Ｐゴシック" w:hint="eastAsia"/>
          <w:sz w:val="22"/>
        </w:rPr>
        <w:t>た医療機関と連携した保健指導を実施していきます。医療の情報についてはかかりつけ医や対象者、</w:t>
      </w:r>
      <w:r>
        <w:rPr>
          <w:rFonts w:ascii="ＭＳ Ｐゴシック" w:eastAsia="ＭＳ Ｐゴシック" w:hAnsi="ＭＳ Ｐゴシック" w:hint="eastAsia"/>
          <w:sz w:val="22"/>
        </w:rPr>
        <w:t>KDB</w:t>
      </w:r>
      <w:r>
        <w:rPr>
          <w:rFonts w:ascii="ＭＳ Ｐゴシック" w:eastAsia="ＭＳ Ｐゴシック" w:hAnsi="ＭＳ Ｐゴシック" w:hint="eastAsia"/>
          <w:sz w:val="22"/>
        </w:rPr>
        <w:t>等を活用しデータを収集していきます。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５）　高齢者福祉部門（介護保険部局）との連携</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高齢者の保健事業と介護予防の一体的実施を行っていく中で、地域包括支援センターと連携してアプローチすべき対象者絞り込み、効果的・効率的な実施に取り組みます。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６）　評価</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評価を行うにあたっては，短期的評価・中長期的評価の視点で考えていきます。短期的評価についてはデータヘルス計画評価等と合わせ年</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回行います。その際は</w:t>
      </w:r>
      <w:r>
        <w:rPr>
          <w:rFonts w:ascii="ＭＳ Ｐゴシック" w:eastAsia="ＭＳ Ｐゴシック" w:hAnsi="ＭＳ Ｐゴシック" w:hint="eastAsia"/>
          <w:sz w:val="22"/>
        </w:rPr>
        <w:t>KDB</w:t>
      </w:r>
      <w:r>
        <w:rPr>
          <w:rFonts w:ascii="ＭＳ Ｐゴシック" w:eastAsia="ＭＳ Ｐゴシック" w:hAnsi="ＭＳ Ｐゴシック" w:hint="eastAsia"/>
          <w:sz w:val="22"/>
        </w:rPr>
        <w:t>等の情報を活用します。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また、中長期的評価においては他の糖尿病性腎症・脳血管疾患等と合わせて行っていきます。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b/>
          <w:sz w:val="28"/>
        </w:rPr>
      </w:pPr>
      <w:r>
        <w:rPr>
          <w:rFonts w:ascii="ＭＳ Ｐゴシック" w:eastAsia="ＭＳ Ｐゴシック" w:hAnsi="ＭＳ Ｐゴシック" w:hint="eastAsia"/>
          <w:sz w:val="28"/>
        </w:rPr>
        <w:t>７）</w:t>
      </w:r>
      <w:r>
        <w:rPr>
          <w:rFonts w:ascii="ＭＳ Ｐゴシック" w:eastAsia="ＭＳ Ｐゴシック" w:hAnsi="ＭＳ Ｐゴシック" w:hint="eastAsia"/>
          <w:b/>
          <w:sz w:val="28"/>
        </w:rPr>
        <w:t xml:space="preserve">　</w:t>
      </w:r>
      <w:r>
        <w:rPr>
          <w:rFonts w:ascii="ＭＳ Ｐゴシック" w:eastAsia="ＭＳ Ｐゴシック" w:hAnsi="ＭＳ Ｐゴシック" w:hint="eastAsia"/>
          <w:sz w:val="28"/>
        </w:rPr>
        <w:t>実施期間及びスケジュール</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0070C0"/>
          <w:sz w:val="22"/>
        </w:rPr>
        <w:t xml:space="preserve">　　　</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月　対象者の選定基準の決定</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color w:val="0070C0"/>
          <w:sz w:val="22"/>
        </w:rPr>
        <w:t xml:space="preserve">　　　</w:t>
      </w:r>
      <w:r>
        <w:rPr>
          <w:rFonts w:ascii="ＭＳ Ｐゴシック" w:eastAsia="ＭＳ Ｐゴシック" w:hAnsi="ＭＳ Ｐゴシック" w:hint="eastAsia"/>
          <w:sz w:val="22"/>
        </w:rPr>
        <w:t>5</w:t>
      </w:r>
      <w:r>
        <w:rPr>
          <w:rFonts w:ascii="ＭＳ Ｐゴシック" w:eastAsia="ＭＳ Ｐゴシック" w:hAnsi="ＭＳ Ｐゴシック" w:hint="eastAsia"/>
          <w:sz w:val="22"/>
        </w:rPr>
        <w:t>月　対象者の抽出（概数の試算）、介入方法、実施方法の決定</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月～特定健診結果が届き次第台帳に記載。台帳記載後順次、対象者へ介入（通年）</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Ⅲ</w:t>
      </w:r>
      <w:r>
        <w:rPr>
          <w:rFonts w:ascii="ＭＳ Ｐゴシック" w:eastAsia="ＭＳ Ｐゴシック" w:hAnsi="ＭＳ Ｐゴシック" w:hint="eastAsia"/>
          <w:sz w:val="32"/>
        </w:rPr>
        <w:t xml:space="preserve">.  </w:t>
      </w:r>
      <w:r>
        <w:rPr>
          <w:rFonts w:ascii="ＭＳ Ｐゴシック" w:eastAsia="ＭＳ Ｐゴシック" w:hAnsi="ＭＳ Ｐゴシック" w:hint="eastAsia"/>
          <w:sz w:val="32"/>
        </w:rPr>
        <w:t>高齢者の保健事業と介護予防の一体的実施</w:t>
      </w:r>
    </w:p>
    <w:p w:rsidR="00584782" w:rsidRDefault="003A4011">
      <w:pPr>
        <w:rPr>
          <w:rFonts w:ascii="ＭＳ Ｐゴシック" w:eastAsia="ＭＳ Ｐゴシック" w:hAnsi="ＭＳ Ｐゴシック"/>
          <w:sz w:val="32"/>
        </w:rPr>
      </w:pPr>
      <w:r>
        <w:rPr>
          <w:rFonts w:ascii="ＭＳ Ｐゴシック" w:eastAsia="ＭＳ Ｐゴシック" w:hAnsi="ＭＳ Ｐゴシック" w:hint="eastAsia"/>
          <w:sz w:val="28"/>
        </w:rPr>
        <w:t>１）基本的な考え方</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高齢者の特性を前提に、後期高齢者の自立した生活を実現し、健康寿命の延伸を図っていくためには、生活習慣病等の重症化を予防する取組みと、生活機能の低下を防止する取組みの双方を一体的に実施する必要性が高く、後期高齢者医療の保健事業と介護予防との一体的な実施を進める必要があります。</w:t>
      </w:r>
    </w:p>
    <w:p w:rsidR="00584782" w:rsidRDefault="003A4011">
      <w:pPr>
        <w:rPr>
          <w:rFonts w:ascii="ＭＳ Ｐゴシック" w:eastAsia="ＭＳ Ｐゴシック" w:hAnsi="ＭＳ Ｐゴシック"/>
          <w:sz w:val="28"/>
        </w:rPr>
      </w:pPr>
      <w:r>
        <w:rPr>
          <w:rFonts w:ascii="ＭＳ Ｐゴシック" w:eastAsia="ＭＳ Ｐゴシック" w:hAnsi="ＭＳ Ｐゴシック" w:hint="eastAsia"/>
          <w:sz w:val="28"/>
        </w:rPr>
        <w:t>２）事業の実施</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本町は、令和４年度より沖縄</w:t>
      </w:r>
      <w:r>
        <w:rPr>
          <w:rFonts w:ascii="ＭＳ Ｐゴシック" w:eastAsia="ＭＳ Ｐゴシック" w:hAnsi="ＭＳ Ｐゴシック" w:hint="eastAsia"/>
          <w:sz w:val="22"/>
        </w:rPr>
        <w:t>県後期高齢者広域連合</w:t>
      </w:r>
      <w:r>
        <w:rPr>
          <w:rFonts w:ascii="ＭＳ Ｐゴシック" w:eastAsia="ＭＳ Ｐゴシック" w:hAnsi="ＭＳ Ｐゴシック" w:hint="eastAsia"/>
          <w:sz w:val="22"/>
        </w:rPr>
        <w:t>から事業を受託し、「高齢者の保健事業と介護予防の一体的実施」を実施しています。令和</w:t>
      </w:r>
      <w:r>
        <w:rPr>
          <w:rFonts w:ascii="ＭＳ Ｐゴシック" w:eastAsia="ＭＳ Ｐゴシック" w:hAnsi="ＭＳ Ｐゴシック" w:hint="eastAsia"/>
          <w:sz w:val="22"/>
        </w:rPr>
        <w:t>6</w:t>
      </w:r>
      <w:r>
        <w:rPr>
          <w:rFonts w:ascii="ＭＳ Ｐゴシック" w:eastAsia="ＭＳ Ｐゴシック" w:hAnsi="ＭＳ Ｐゴシック" w:hint="eastAsia"/>
          <w:sz w:val="22"/>
        </w:rPr>
        <w:t>年度以降も引き続き事業を行っていきます。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具体的には、（図表</w:t>
      </w:r>
      <w:r>
        <w:rPr>
          <w:rFonts w:ascii="ＭＳ Ｐゴシック" w:eastAsia="ＭＳ Ｐゴシック" w:hAnsi="ＭＳ Ｐゴシック" w:hint="eastAsia"/>
          <w:sz w:val="22"/>
        </w:rPr>
        <w:t>78</w:t>
      </w:r>
      <w:r>
        <w:rPr>
          <w:rFonts w:ascii="ＭＳ Ｐゴシック" w:eastAsia="ＭＳ Ｐゴシック" w:hAnsi="ＭＳ Ｐゴシック" w:hint="eastAsia"/>
          <w:sz w:val="22"/>
        </w:rPr>
        <w:t>）</w:t>
      </w:r>
    </w:p>
    <w:p w:rsidR="00584782" w:rsidRDefault="003A4011">
      <w:pPr>
        <w:pStyle w:val="a3"/>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企画・調整等を担当する</w:t>
      </w:r>
      <w:r>
        <w:rPr>
          <w:rFonts w:ascii="ＭＳ Ｐゴシック" w:eastAsia="ＭＳ Ｐゴシック" w:hAnsi="ＭＳ Ｐゴシック" w:hint="eastAsia"/>
          <w:sz w:val="22"/>
        </w:rPr>
        <w:t>医療専門職</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保健師</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を配置</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KDB</w:t>
      </w:r>
      <w:r>
        <w:rPr>
          <w:rFonts w:ascii="ＭＳ Ｐゴシック" w:eastAsia="ＭＳ Ｐゴシック" w:hAnsi="ＭＳ Ｐゴシック" w:hint="eastAsia"/>
          <w:sz w:val="22"/>
        </w:rPr>
        <w:t>ｼｽﾃﾑ等を活用し、健診・医療・介護データの一体的な分析から重症化予防・介護予防</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対象者を把握し、医療・介護などの関係機関との連携調整を行います。</w:t>
      </w:r>
    </w:p>
    <w:p w:rsidR="00584782" w:rsidRDefault="003A4011">
      <w:pPr>
        <w:pStyle w:val="a3"/>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地域を担当する保健師を配置し、高血圧や高血糖で未治療者等の対象者を抽出し、高齢者に対する個別的支援</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ハイリスクアプローチ</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を行います。</w:t>
      </w:r>
      <w:r>
        <w:rPr>
          <w:rFonts w:ascii="ＭＳ Ｐゴシック" w:eastAsia="ＭＳ Ｐゴシック" w:hAnsi="ＭＳ Ｐゴシック" w:hint="eastAsia"/>
          <w:sz w:val="22"/>
        </w:rPr>
        <w:t>75</w:t>
      </w:r>
      <w:r>
        <w:rPr>
          <w:rFonts w:ascii="ＭＳ Ｐゴシック" w:eastAsia="ＭＳ Ｐゴシック" w:hAnsi="ＭＳ Ｐゴシック" w:hint="eastAsia"/>
          <w:sz w:val="22"/>
        </w:rPr>
        <w:t>歳を過ぎても支援が途切れないよう糖尿病管理台帳や高血圧管理台帳をもとに、糖尿病や高血圧などの重症化予防を行います。また、生活習慣病からのフレイル、認知症予防のための軽度認知障害予防教室など</w:t>
      </w:r>
      <w:r>
        <w:rPr>
          <w:rFonts w:ascii="ＭＳ Ｐゴシック" w:eastAsia="ＭＳ Ｐゴシック" w:hAnsi="ＭＳ Ｐゴシック" w:hint="eastAsia"/>
          <w:sz w:val="22"/>
        </w:rPr>
        <w:t>健康教育や健康相談を実施していきます。</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ポピュレーションアプローチ</w:t>
      </w:r>
      <w:r>
        <w:rPr>
          <w:rFonts w:ascii="ＭＳ Ｐゴシック" w:eastAsia="ＭＳ Ｐゴシック" w:hAnsi="ＭＳ Ｐゴシック" w:hint="eastAsia"/>
          <w:sz w:val="22"/>
        </w:rPr>
        <w:t>)</w:t>
      </w:r>
    </w:p>
    <w:p w:rsidR="00584782" w:rsidRDefault="00584782">
      <w:pPr>
        <w:rPr>
          <w:rFonts w:ascii="ＭＳ Ｐゴシック" w:eastAsia="ＭＳ Ｐゴシック" w:hAnsi="ＭＳ Ｐゴシック"/>
          <w:color w:val="0070C0"/>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7</w:t>
      </w:r>
      <w:r>
        <w:rPr>
          <w:rFonts w:ascii="ＭＳ Ｐゴシック" w:eastAsia="ＭＳ Ｐゴシック" w:hAnsi="ＭＳ Ｐゴシック" w:hint="eastAsia"/>
          <w:sz w:val="22"/>
        </w:rPr>
        <w:t>8</w:t>
      </w:r>
      <w:r>
        <w:rPr>
          <w:rFonts w:ascii="ＭＳ Ｐゴシック" w:eastAsia="ＭＳ Ｐゴシック" w:hAnsi="ＭＳ Ｐゴシック" w:hint="eastAsia"/>
          <w:sz w:val="22"/>
        </w:rPr>
        <w:t xml:space="preserve">　高齢者の保健事業と介護予防の一体的実施</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7425" cy="3387090"/>
            <wp:effectExtent l="0" t="0" r="0" b="0"/>
            <wp:docPr id="1115" name="オブジェクト 0"/>
            <wp:cNvGraphicFramePr/>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89"/>
                    <a:stretch>
                      <a:fillRect/>
                    </a:stretch>
                  </pic:blipFill>
                  <pic:spPr>
                    <a:xfrm>
                      <a:off x="0" y="0"/>
                      <a:ext cx="6067425" cy="3387090"/>
                    </a:xfrm>
                    <a:prstGeom prst="rect">
                      <a:avLst/>
                    </a:prstGeom>
                  </pic:spPr>
                </pic:pic>
              </a:graphicData>
            </a:graphic>
          </wp:inline>
        </w:drawing>
      </w:r>
    </w:p>
    <w:p w:rsidR="00584782" w:rsidRDefault="003A4011">
      <w:pPr>
        <w:ind w:rightChars="-49" w:right="-103" w:firstLineChars="3700" w:firstLine="6660"/>
        <w:rPr>
          <w:rFonts w:ascii="ＭＳ Ｐゴシック" w:eastAsia="ＭＳ Ｐゴシック" w:hAnsi="ＭＳ Ｐゴシック"/>
          <w:sz w:val="18"/>
        </w:rPr>
      </w:pPr>
      <w:r>
        <w:rPr>
          <w:rFonts w:ascii="ＭＳ Ｐゴシック" w:eastAsia="ＭＳ Ｐゴシック" w:hAnsi="ＭＳ Ｐゴシック" w:hint="eastAsia"/>
          <w:sz w:val="18"/>
        </w:rPr>
        <w:t>出典・参照：保険者ﾃﾞｰﾀﾍﾙｽ支援ｼｽﾃﾑ</w:t>
      </w:r>
    </w:p>
    <w:p w:rsidR="00584782" w:rsidRDefault="003A4011">
      <w:pPr>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Ⅳ．　発症予防</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生活習慣病が成人の死亡と深く関わることから、その予防は現在における健康上の大きな課題であります。生活習慣の確立が小児期に端を発することを考えれば、小児における生活習慣病対策、特に肥満の予防の重要性は容易に想起されます。小児の肥満は、子どもたちの健康と深く関わるのみならず、成人期の生活習慣病やそれに伴う動脈硬化性疾患の予防の視点からますます注目されています。　</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本町においては、健康増進法のもと妊産婦及び乳幼児期、成人のデータを保有しており、またデータヘルス計画の対象者は、被保険者全員であることから、データを</w:t>
      </w:r>
      <w:r>
        <w:rPr>
          <w:rFonts w:ascii="ＭＳ Ｐゴシック" w:eastAsia="ＭＳ Ｐゴシック" w:hAnsi="ＭＳ Ｐゴシック" w:hint="eastAsia"/>
          <w:sz w:val="22"/>
        </w:rPr>
        <w:t>ライフサイクルの視点で見ていくことが必要であります。（図表</w:t>
      </w:r>
      <w:r>
        <w:rPr>
          <w:rFonts w:ascii="ＭＳ Ｐゴシック" w:eastAsia="ＭＳ Ｐゴシック" w:hAnsi="ＭＳ Ｐゴシック" w:hint="eastAsia"/>
          <w:sz w:val="22"/>
        </w:rPr>
        <w:t>79</w:t>
      </w:r>
      <w:r>
        <w:rPr>
          <w:rFonts w:ascii="ＭＳ Ｐゴシック" w:eastAsia="ＭＳ Ｐゴシック" w:hAnsi="ＭＳ Ｐゴシック" w:hint="eastAsia"/>
          <w:sz w:val="22"/>
        </w:rPr>
        <w:t>）</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p>
    <w:p w:rsidR="00584782" w:rsidRDefault="003A4011">
      <w:pPr>
        <w:rPr>
          <w:rFonts w:ascii="ＭＳ Ｐゴシック" w:eastAsia="ＭＳ Ｐゴシック" w:hAnsi="ＭＳ Ｐゴシック"/>
          <w:sz w:val="22"/>
        </w:rPr>
      </w:pPr>
      <w:r>
        <w:rPr>
          <w:rFonts w:hint="eastAsia"/>
          <w:noProof/>
        </w:rPr>
        <w:drawing>
          <wp:anchor distT="0" distB="0" distL="114300" distR="114300" simplePos="0" relativeHeight="19" behindDoc="0" locked="0" layoutInCell="1" hidden="0" allowOverlap="1">
            <wp:simplePos x="0" y="0"/>
            <wp:positionH relativeFrom="column">
              <wp:posOffset>4445</wp:posOffset>
            </wp:positionH>
            <wp:positionV relativeFrom="paragraph">
              <wp:posOffset>290195</wp:posOffset>
            </wp:positionV>
            <wp:extent cx="5850890" cy="4185285"/>
            <wp:effectExtent l="0" t="0" r="0" b="0"/>
            <wp:wrapTopAndBottom/>
            <wp:docPr id="1116" name="Picture 10"/>
            <wp:cNvGraphicFramePr/>
            <a:graphic xmlns:a="http://schemas.openxmlformats.org/drawingml/2006/main">
              <a:graphicData uri="http://schemas.openxmlformats.org/drawingml/2006/picture">
                <pic:pic xmlns:pic="http://schemas.openxmlformats.org/drawingml/2006/picture">
                  <pic:nvPicPr>
                    <pic:cNvPr id="1116" name="Picture 10"/>
                    <pic:cNvPicPr>
                      <a:picLocks noChangeAspect="1" noChangeArrowheads="1"/>
                    </pic:cNvPicPr>
                  </pic:nvPicPr>
                  <pic:blipFill>
                    <a:blip r:embed="rId90"/>
                    <a:stretch>
                      <a:fillRect/>
                    </a:stretch>
                  </pic:blipFill>
                  <pic:spPr>
                    <a:xfrm>
                      <a:off x="0" y="0"/>
                      <a:ext cx="5850890" cy="4185285"/>
                    </a:xfrm>
                    <a:prstGeom prst="rect">
                      <a:avLst/>
                    </a:prstGeom>
                    <a:noFill/>
                    <a:ln>
                      <a:noFill/>
                    </a:ln>
                  </pic:spPr>
                </pic:pic>
              </a:graphicData>
            </a:graphic>
          </wp:anchor>
        </w:drawing>
      </w:r>
      <w:r>
        <w:rPr>
          <w:rFonts w:ascii="ＭＳ Ｐゴシック" w:eastAsia="ＭＳ Ｐゴシック" w:hAnsi="ＭＳ Ｐゴシック" w:hint="eastAsia"/>
          <w:sz w:val="22"/>
        </w:rPr>
        <w:t>図表</w:t>
      </w:r>
      <w:r>
        <w:rPr>
          <w:rFonts w:ascii="ＭＳ Ｐゴシック" w:eastAsia="ＭＳ Ｐゴシック" w:hAnsi="ＭＳ Ｐゴシック"/>
          <w:sz w:val="22"/>
        </w:rPr>
        <w:t>7</w:t>
      </w:r>
      <w:r>
        <w:rPr>
          <w:rFonts w:ascii="ＭＳ Ｐゴシック" w:eastAsia="ＭＳ Ｐゴシック" w:hAnsi="ＭＳ Ｐゴシック" w:hint="eastAsia"/>
          <w:sz w:val="22"/>
        </w:rPr>
        <w:t>9</w:t>
      </w:r>
      <w:r>
        <w:rPr>
          <w:rFonts w:ascii="ＭＳ Ｐゴシック" w:eastAsia="ＭＳ Ｐゴシック" w:hAnsi="ＭＳ Ｐゴシック" w:hint="eastAsia"/>
          <w:sz w:val="22"/>
        </w:rPr>
        <w:t xml:space="preserve">　生活習慣病の予防をライフサイクルの視点で考える</w:t>
      </w:r>
    </w:p>
    <w:p w:rsidR="00584782" w:rsidRDefault="00584782"/>
    <w:p w:rsidR="00584782" w:rsidRDefault="00584782"/>
    <w:p w:rsidR="00584782" w:rsidRDefault="00584782"/>
    <w:p w:rsidR="00584782" w:rsidRDefault="00584782"/>
    <w:p w:rsidR="00584782" w:rsidRDefault="00584782"/>
    <w:p w:rsidR="00584782" w:rsidRDefault="00584782"/>
    <w:p w:rsidR="00584782" w:rsidRDefault="00584782"/>
    <w:p w:rsidR="00584782" w:rsidRDefault="00584782"/>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Ⅴ．　ポピュレーションアプローチ</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生活習慣病の発症予防に向け、ポピュレーションアプローチに取り組みます。生活習慣病の重症化により医療費や介護費等社会保障費の増大につながっている実態や、その背景にある地域特性を明らかにするために個人の実態と社会環境等について広く市民へ周知していきます。（図表</w:t>
      </w:r>
      <w:r>
        <w:rPr>
          <w:rFonts w:ascii="ＭＳ Ｐゴシック" w:eastAsia="ＭＳ Ｐゴシック" w:hAnsi="ＭＳ Ｐゴシック" w:hint="eastAsia"/>
          <w:sz w:val="22"/>
        </w:rPr>
        <w:t>80</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81</w:t>
      </w:r>
      <w:r>
        <w:rPr>
          <w:rFonts w:ascii="ＭＳ Ｐゴシック" w:eastAsia="ＭＳ Ｐゴシック" w:hAnsi="ＭＳ Ｐゴシック" w:hint="eastAsia"/>
          <w:sz w:val="22"/>
        </w:rPr>
        <w:t>）</w:t>
      </w: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hint="eastAsia"/>
          <w:sz w:val="22"/>
        </w:rPr>
        <w:t>80</w:t>
      </w:r>
      <w:r>
        <w:rPr>
          <w:rFonts w:ascii="ＭＳ Ｐゴシック" w:eastAsia="ＭＳ Ｐゴシック" w:hAnsi="ＭＳ Ｐゴシック" w:hint="eastAsia"/>
          <w:sz w:val="22"/>
        </w:rPr>
        <w:t xml:space="preserve">　社会保障費健全化に向けて医療費・介護費の適正化</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6067425" cy="4095115"/>
            <wp:effectExtent l="0" t="0" r="0" b="0"/>
            <wp:docPr id="1117" name="オブジェクト 0"/>
            <wp:cNvGraphicFramePr/>
            <a:graphic xmlns:a="http://schemas.openxmlformats.org/drawingml/2006/main">
              <a:graphicData uri="http://schemas.openxmlformats.org/drawingml/2006/picture">
                <pic:pic xmlns:pic="http://schemas.openxmlformats.org/drawingml/2006/picture">
                  <pic:nvPicPr>
                    <pic:cNvPr id="1117" name="オブジェクト 0"/>
                    <pic:cNvPicPr>
                      <a:picLocks noChangeAspect="1"/>
                    </pic:cNvPicPr>
                  </pic:nvPicPr>
                  <pic:blipFill>
                    <a:blip r:embed="rId91"/>
                    <a:stretch>
                      <a:fillRect/>
                    </a:stretch>
                  </pic:blipFill>
                  <pic:spPr>
                    <a:xfrm>
                      <a:off x="0" y="0"/>
                      <a:ext cx="6067425" cy="4095115"/>
                    </a:xfrm>
                    <a:prstGeom prst="rect">
                      <a:avLst/>
                    </a:prstGeom>
                  </pic:spPr>
                </pic:pic>
              </a:graphicData>
            </a:graphic>
          </wp:inline>
        </w:drawing>
      </w:r>
    </w:p>
    <w:p w:rsidR="00584782" w:rsidRDefault="003A4011">
      <w:pPr>
        <w:wordWrap w:val="0"/>
        <w:spacing w:line="24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出典・参照：厚労省</w:t>
      </w:r>
      <w:r>
        <w:rPr>
          <w:rFonts w:ascii="ＭＳ Ｐゴシック" w:eastAsia="ＭＳ Ｐゴシック" w:hAnsi="ＭＳ Ｐゴシック" w:hint="eastAsia"/>
          <w:sz w:val="18"/>
        </w:rPr>
        <w:t xml:space="preserve">  </w:t>
      </w:r>
      <w:r>
        <w:rPr>
          <w:rFonts w:ascii="ＭＳ Ｐゴシック" w:eastAsia="ＭＳ Ｐゴシック" w:hAnsi="ＭＳ Ｐゴシック"/>
          <w:sz w:val="18"/>
        </w:rPr>
        <w:t xml:space="preserve">               </w:t>
      </w:r>
    </w:p>
    <w:p w:rsidR="00584782" w:rsidRDefault="003A4011">
      <w:pPr>
        <w:wordWrap w:val="0"/>
        <w:spacing w:line="240" w:lineRule="exact"/>
        <w:jc w:val="right"/>
        <w:rPr>
          <w:rFonts w:ascii="ＭＳ Ｐゴシック" w:eastAsia="ＭＳ Ｐゴシック" w:hAnsi="ＭＳ Ｐゴシック"/>
          <w:sz w:val="18"/>
        </w:rPr>
      </w:pPr>
      <w:r>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特定健診法定報告</w:t>
      </w:r>
      <w:r>
        <w:rPr>
          <w:rFonts w:ascii="ＭＳ Ｐゴシック" w:eastAsia="ＭＳ Ｐゴシック" w:hAnsi="ＭＳ Ｐゴシック" w:hint="eastAsia"/>
          <w:sz w:val="18"/>
        </w:rPr>
        <w:t xml:space="preserve"> </w:t>
      </w:r>
      <w:r>
        <w:rPr>
          <w:rFonts w:ascii="ＭＳ Ｐゴシック" w:eastAsia="ＭＳ Ｐゴシック" w:hAnsi="ＭＳ Ｐゴシック"/>
          <w:sz w:val="18"/>
        </w:rPr>
        <w:t xml:space="preserve">      </w:t>
      </w:r>
    </w:p>
    <w:p w:rsidR="00584782" w:rsidRDefault="003A4011">
      <w:pPr>
        <w:spacing w:line="240" w:lineRule="exact"/>
        <w:jc w:val="righ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18"/>
        </w:rPr>
        <w:t>保険者ﾃﾞｰﾀﾍﾙｽ支援ｼｽﾃﾑ</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図表</w:t>
      </w:r>
      <w:r>
        <w:rPr>
          <w:rFonts w:ascii="ＭＳ Ｐゴシック" w:eastAsia="ＭＳ Ｐゴシック" w:hAnsi="ＭＳ Ｐゴシック"/>
          <w:sz w:val="22"/>
        </w:rPr>
        <w:t>8</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 xml:space="preserve">　統計からみえる</w:t>
      </w:r>
      <w:r>
        <w:rPr>
          <w:rFonts w:ascii="ＭＳ Ｐゴシック" w:eastAsia="ＭＳ Ｐゴシック" w:hAnsi="ＭＳ Ｐゴシック" w:hint="eastAsia"/>
          <w:sz w:val="22"/>
        </w:rPr>
        <w:t>沖縄県</w:t>
      </w:r>
      <w:r>
        <w:rPr>
          <w:rFonts w:ascii="ＭＳ Ｐゴシック" w:eastAsia="ＭＳ Ｐゴシック" w:hAnsi="ＭＳ Ｐゴシック" w:hint="eastAsia"/>
          <w:sz w:val="22"/>
        </w:rPr>
        <w:t>の食</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849620" cy="2306955"/>
            <wp:effectExtent l="0" t="0" r="0" b="0"/>
            <wp:docPr id="1118" name="オブジェクト 0"/>
            <wp:cNvGraphicFramePr/>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92"/>
                    <a:stretch>
                      <a:fillRect/>
                    </a:stretch>
                  </pic:blipFill>
                  <pic:spPr>
                    <a:xfrm>
                      <a:off x="0" y="0"/>
                      <a:ext cx="5849620" cy="2306955"/>
                    </a:xfrm>
                    <a:prstGeom prst="rect">
                      <a:avLst/>
                    </a:prstGeom>
                  </pic:spPr>
                </pic:pic>
              </a:graphicData>
            </a:graphic>
          </wp:inline>
        </w:drawing>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32"/>
        </w:rPr>
        <w:lastRenderedPageBreak/>
        <w:t>第５章　計画の評価・見直し</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１．評価の時期</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計画の見直しは、</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年後の令和８年度に進捗確認のための中間評価を行います。</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また、計画の最終年度の令和</w:t>
      </w:r>
      <w:r>
        <w:rPr>
          <w:rFonts w:ascii="ＭＳ Ｐゴシック" w:eastAsia="ＭＳ Ｐゴシック" w:hAnsi="ＭＳ Ｐゴシック" w:hint="eastAsia"/>
          <w:sz w:val="22"/>
        </w:rPr>
        <w:t>11</w:t>
      </w:r>
      <w:r>
        <w:rPr>
          <w:rFonts w:ascii="ＭＳ Ｐゴシック" w:eastAsia="ＭＳ Ｐゴシック" w:hAnsi="ＭＳ Ｐゴシック" w:hint="eastAsia"/>
          <w:sz w:val="22"/>
        </w:rPr>
        <w:t>年度においては、次の期の計画の策定を円滑に行うための準備も考慮に入れて評価を行う必要があります。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２．評価方法・体制</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保険者は、健診・医療情報を活用してＰＤＣＡサイクルに沿った効果的かつ効率的な保健事業の実施を図ることが求められており、保険者努力支援制度においても</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つの指標での評価が求められています。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※評価における</w:t>
      </w:r>
      <w:r>
        <w:rPr>
          <w:rFonts w:ascii="ＭＳ Ｐゴシック" w:eastAsia="ＭＳ Ｐゴシック" w:hAnsi="ＭＳ Ｐゴシック" w:hint="eastAsia"/>
          <w:sz w:val="22"/>
        </w:rPr>
        <w:t>4</w:t>
      </w:r>
      <w:r>
        <w:rPr>
          <w:rFonts w:ascii="ＭＳ Ｐゴシック" w:eastAsia="ＭＳ Ｐゴシック" w:hAnsi="ＭＳ Ｐゴシック" w:hint="eastAsia"/>
          <w:sz w:val="22"/>
        </w:rPr>
        <w:t>つの指標</w:t>
      </w:r>
    </w:p>
    <w:tbl>
      <w:tblPr>
        <w:tblStyle w:val="af"/>
        <w:tblW w:w="8392" w:type="dxa"/>
        <w:tblInd w:w="392" w:type="dxa"/>
        <w:tblLayout w:type="fixed"/>
        <w:tblLook w:val="04A0" w:firstRow="1" w:lastRow="0" w:firstColumn="1" w:lastColumn="0" w:noHBand="0" w:noVBand="1"/>
      </w:tblPr>
      <w:tblGrid>
        <w:gridCol w:w="3714"/>
        <w:gridCol w:w="4678"/>
      </w:tblGrid>
      <w:tr w:rsidR="00584782">
        <w:tc>
          <w:tcPr>
            <w:tcW w:w="3714" w:type="dxa"/>
          </w:tcPr>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ストラクチャー</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保健事業実施のための体制・ｼｽﾃﾑを整えているか</w:t>
            </w:r>
            <w:r>
              <w:rPr>
                <w:rFonts w:ascii="ＭＳ Ｐゴシック" w:eastAsia="ＭＳ Ｐゴシック" w:hAnsi="ＭＳ Ｐゴシック" w:hint="eastAsia"/>
                <w:sz w:val="22"/>
              </w:rPr>
              <w:t>)</w:t>
            </w:r>
          </w:p>
        </w:tc>
        <w:tc>
          <w:tcPr>
            <w:tcW w:w="4678" w:type="dxa"/>
          </w:tcPr>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・事業の運営状況を定期的に管理できる体制を整備しているか。（予算等も含む）</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・保健指導実施のための専門職の配置</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KDB</w:t>
            </w:r>
            <w:r>
              <w:rPr>
                <w:rFonts w:ascii="ＭＳ Ｐゴシック" w:eastAsia="ＭＳ Ｐゴシック" w:hAnsi="ＭＳ Ｐゴシック" w:hint="eastAsia"/>
                <w:sz w:val="22"/>
              </w:rPr>
              <w:t>活用環境の確保</w:t>
            </w:r>
          </w:p>
        </w:tc>
      </w:tr>
      <w:tr w:rsidR="00584782">
        <w:tc>
          <w:tcPr>
            <w:tcW w:w="3714" w:type="dxa"/>
          </w:tcPr>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プロセス</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（保健事業の実施過程）</w:t>
            </w:r>
          </w:p>
        </w:tc>
        <w:tc>
          <w:tcPr>
            <w:tcW w:w="4678" w:type="dxa"/>
          </w:tcPr>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・保健指導等の手順・教材はそろっているか</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・必要なデータは入手できているか。</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・スケジュールどおり行われているか。</w:t>
            </w:r>
          </w:p>
        </w:tc>
      </w:tr>
      <w:tr w:rsidR="00584782">
        <w:tc>
          <w:tcPr>
            <w:tcW w:w="3714" w:type="dxa"/>
          </w:tcPr>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アウトプット</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（保健事業の実施量）</w:t>
            </w:r>
          </w:p>
        </w:tc>
        <w:tc>
          <w:tcPr>
            <w:tcW w:w="4678" w:type="dxa"/>
          </w:tcPr>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・特定健診受診率、特定保健指導率</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・計画した保健事業を実施したか。</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・保健指導実施数、受診勧奨実施数など</w:t>
            </w:r>
          </w:p>
        </w:tc>
      </w:tr>
      <w:tr w:rsidR="00584782">
        <w:tc>
          <w:tcPr>
            <w:tcW w:w="3714" w:type="dxa"/>
          </w:tcPr>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アウトカム</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（成果）</w:t>
            </w:r>
          </w:p>
        </w:tc>
        <w:tc>
          <w:tcPr>
            <w:tcW w:w="4678" w:type="dxa"/>
          </w:tcPr>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・設定した目標に達することができたか</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（検査データの変化、医療費の変化、糖尿病等生活習慣病の有病者の変化、要介護率など）</w:t>
            </w:r>
          </w:p>
        </w:tc>
      </w:tr>
    </w:tbl>
    <w:p w:rsidR="00584782" w:rsidRDefault="00584782">
      <w:pPr>
        <w:rPr>
          <w:rFonts w:ascii="ＭＳ Ｐゴシック" w:eastAsia="ＭＳ Ｐゴシック" w:hAnsi="ＭＳ Ｐゴシック"/>
          <w:sz w:val="22"/>
        </w:rPr>
      </w:pP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具体的な評価方法は、国保データベース（ＫＤＢ）ｼｽﾃﾑに毎月、健診・医療・介護のデータが収載される為、受診率・受療率、医療の動向等は、保健指導に係る保健師・栄養士等が自身の担当の被保険者分について定期的に確認していきます。また、特定健診の国への実績報告後のデータを用いて、経年比較を行うとともに、個々の健診結果の改善度を評価していきます。</w:t>
      </w: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第６章　計画の公表・周知及び個人情報の取扱い</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１．計画の公表・周知</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計画は、被保険者や保健医療関係者等が容易に知りえるべきものとすることが重要であり、このた</w:t>
      </w:r>
      <w:r>
        <w:rPr>
          <w:rFonts w:ascii="ＭＳ Ｐゴシック" w:eastAsia="ＭＳ Ｐゴシック" w:hAnsi="ＭＳ Ｐゴシック" w:hint="eastAsia"/>
          <w:sz w:val="22"/>
        </w:rPr>
        <w:t>め、国指針において、公表するものとされています。</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具体的な方策としては、ホームページや広報誌を通じた周知のほか、地域の医師会等などの関係団体経由で医療機関等に周知する。これらの公表・配布に当たっては、被保険者、保健医療関係者の理解を促進するため、計画の要旨等をまとめた簡易版を策定する等の工夫が必要です。</w:t>
      </w:r>
    </w:p>
    <w:p w:rsidR="00584782" w:rsidRDefault="00584782">
      <w:pPr>
        <w:ind w:firstLineChars="100" w:firstLine="220"/>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２．個人情報の取扱い</w:t>
      </w:r>
    </w:p>
    <w:p w:rsidR="00584782" w:rsidRDefault="003A4011">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保険者等においては、個人情報の保護に関する各種法令・ガイドラインに基づき、庁内等での利用、外部委託事業者への業務委託等の各場面で、その保有する個人情報の適切な取り扱いが確保されるよう</w:t>
      </w:r>
      <w:r>
        <w:rPr>
          <w:rFonts w:ascii="ＭＳ Ｐゴシック" w:eastAsia="ＭＳ Ｐゴシック" w:hAnsi="ＭＳ Ｐゴシック" w:hint="eastAsia"/>
          <w:sz w:val="22"/>
        </w:rPr>
        <w:t>措置を講じます。</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jc w:val="left"/>
        <w:rPr>
          <w:rFonts w:ascii="ＭＳ Ｐゴシック" w:eastAsia="ＭＳ Ｐゴシック" w:hAnsi="ＭＳ Ｐゴシック"/>
          <w:sz w:val="32"/>
        </w:rPr>
      </w:pPr>
      <w:r>
        <w:rPr>
          <w:rFonts w:ascii="ＭＳ Ｐゴシック" w:eastAsia="ＭＳ Ｐゴシック" w:hAnsi="ＭＳ Ｐゴシック" w:hint="eastAsia"/>
          <w:sz w:val="32"/>
        </w:rPr>
        <w:lastRenderedPageBreak/>
        <w:t>参考資料</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 xml:space="preserve">　　様式</w:t>
      </w:r>
      <w:r>
        <w:rPr>
          <w:rFonts w:ascii="ＭＳ Ｐゴシック" w:eastAsia="ＭＳ Ｐゴシック" w:hAnsi="ＭＳ Ｐゴシック" w:hint="eastAsia"/>
          <w:sz w:val="22"/>
        </w:rPr>
        <w:t>5-1</w:t>
      </w:r>
      <w:r>
        <w:rPr>
          <w:rFonts w:ascii="ＭＳ Ｐゴシック" w:eastAsia="ＭＳ Ｐゴシック" w:hAnsi="ＭＳ Ｐゴシック" w:hint="eastAsia"/>
          <w:sz w:val="22"/>
        </w:rPr>
        <w:t xml:space="preserve">　国・県・同規模と比べてみた</w:t>
      </w:r>
      <w:r>
        <w:rPr>
          <w:rFonts w:ascii="ＭＳ Ｐゴシック" w:eastAsia="ＭＳ Ｐゴシック" w:hAnsi="ＭＳ Ｐゴシック" w:hint="eastAsia"/>
          <w:color w:val="000000" w:themeColor="text1"/>
          <w:sz w:val="22"/>
        </w:rPr>
        <w:t>本部町</w:t>
      </w:r>
      <w:r>
        <w:rPr>
          <w:rFonts w:ascii="ＭＳ Ｐゴシック" w:eastAsia="ＭＳ Ｐゴシック" w:hAnsi="ＭＳ Ｐゴシック" w:hint="eastAsia"/>
          <w:sz w:val="22"/>
        </w:rPr>
        <w:t>の位置</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参考資料２　　健診・医療・介護の一体的な分析</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参考資料３　　糖尿病性腎症重症化予防の取組み評価</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参考資料４　　糖尿病重症化予防のためのレセプトと健診データの突合</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参考資料５　　高血圧重症化予防のためのレセプトと健診データの突合</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参考資料６　　脂質異常症重症化予防のためのレセプトと健診データの突合</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参考資料７　　Ｈ</w:t>
      </w:r>
      <w:r>
        <w:rPr>
          <w:rFonts w:ascii="ＭＳ Ｐゴシック" w:eastAsia="ＭＳ Ｐゴシック" w:hAnsi="ＭＳ Ｐゴシック" w:hint="eastAsia"/>
          <w:sz w:val="22"/>
        </w:rPr>
        <w:t>bA1c</w:t>
      </w:r>
      <w:r>
        <w:rPr>
          <w:rFonts w:ascii="ＭＳ Ｐゴシック" w:eastAsia="ＭＳ Ｐゴシック" w:hAnsi="ＭＳ Ｐゴシック" w:hint="eastAsia"/>
          <w:sz w:val="22"/>
        </w:rPr>
        <w:t>の年次比較</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参考資料８　　血圧の年次比較</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参考資料９　　</w:t>
      </w:r>
      <w:r>
        <w:rPr>
          <w:rFonts w:ascii="ＭＳ Ｐゴシック" w:eastAsia="ＭＳ Ｐゴシック" w:hAnsi="ＭＳ Ｐゴシック" w:hint="eastAsia"/>
          <w:sz w:val="22"/>
        </w:rPr>
        <w:t>LDL-C</w:t>
      </w:r>
      <w:r>
        <w:rPr>
          <w:rFonts w:ascii="ＭＳ Ｐゴシック" w:eastAsia="ＭＳ Ｐゴシック" w:hAnsi="ＭＳ Ｐゴシック" w:hint="eastAsia"/>
          <w:sz w:val="22"/>
        </w:rPr>
        <w:t>の年次比較</w:t>
      </w: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w:t>
      </w:r>
      <w:r>
        <w:rPr>
          <w:rFonts w:ascii="ＭＳ Ｐゴシック" w:eastAsia="ＭＳ Ｐゴシック" w:hAnsi="ＭＳ Ｐゴシック" w:hint="eastAsia"/>
          <w:sz w:val="22"/>
        </w:rPr>
        <w:t>1</w:t>
      </w:r>
      <w:r>
        <w:rPr>
          <w:rFonts w:ascii="ＭＳ Ｐゴシック" w:eastAsia="ＭＳ Ｐゴシック" w:hAnsi="ＭＳ Ｐゴシック" w:hint="eastAsia"/>
          <w:sz w:val="22"/>
        </w:rPr>
        <w:t xml:space="preserve">　様式</w:t>
      </w:r>
      <w:r>
        <w:rPr>
          <w:rFonts w:ascii="ＭＳ Ｐゴシック" w:eastAsia="ＭＳ Ｐゴシック" w:hAnsi="ＭＳ Ｐゴシック" w:hint="eastAsia"/>
          <w:sz w:val="22"/>
        </w:rPr>
        <w:t>5-1</w:t>
      </w:r>
      <w:r>
        <w:rPr>
          <w:rFonts w:ascii="ＭＳ Ｐゴシック" w:eastAsia="ＭＳ Ｐゴシック" w:hAnsi="ＭＳ Ｐゴシック" w:hint="eastAsia"/>
          <w:sz w:val="22"/>
        </w:rPr>
        <w:t xml:space="preserve">　国・県・同規模と比べてみた本部町の位置</w:t>
      </w:r>
    </w:p>
    <w:p w:rsidR="00584782" w:rsidRDefault="003A4011">
      <w:pPr>
        <w:rPr>
          <w:rFonts w:ascii="ＭＳ Ｐゴシック" w:eastAsia="ＭＳ Ｐゴシック" w:hAnsi="ＭＳ Ｐゴシック"/>
          <w:sz w:val="22"/>
        </w:rPr>
      </w:pPr>
      <w:r>
        <w:rPr>
          <w:rFonts w:hint="eastAsia"/>
          <w:noProof/>
        </w:rPr>
        <w:drawing>
          <wp:inline distT="0" distB="0" distL="203200" distR="203200">
            <wp:extent cx="5849620" cy="8468995"/>
            <wp:effectExtent l="0" t="0" r="0" b="0"/>
            <wp:docPr id="1119" name="オブジェクト 0"/>
            <wp:cNvGraphicFramePr/>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93"/>
                    <a:stretch>
                      <a:fillRect/>
                    </a:stretch>
                  </pic:blipFill>
                  <pic:spPr>
                    <a:xfrm>
                      <a:off x="0" y="0"/>
                      <a:ext cx="5849620" cy="8468995"/>
                    </a:xfrm>
                    <a:prstGeom prst="rect">
                      <a:avLst/>
                    </a:prstGeom>
                  </pic:spPr>
                </pic:pic>
              </a:graphicData>
            </a:graphic>
          </wp:inline>
        </w:drawing>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5849620" cy="8571865"/>
            <wp:effectExtent l="0" t="0" r="0" b="0"/>
            <wp:docPr id="1120" name="オブジェクト 0"/>
            <wp:cNvGraphicFramePr/>
            <a:graphic xmlns:a="http://schemas.openxmlformats.org/drawingml/2006/main">
              <a:graphicData uri="http://schemas.openxmlformats.org/drawingml/2006/picture">
                <pic:pic xmlns:pic="http://schemas.openxmlformats.org/drawingml/2006/picture">
                  <pic:nvPicPr>
                    <pic:cNvPr id="1120" name="オブジェクト 0"/>
                    <pic:cNvPicPr>
                      <a:picLocks noChangeAspect="1"/>
                    </pic:cNvPicPr>
                  </pic:nvPicPr>
                  <pic:blipFill>
                    <a:blip r:embed="rId94"/>
                    <a:stretch>
                      <a:fillRect/>
                    </a:stretch>
                  </pic:blipFill>
                  <pic:spPr>
                    <a:xfrm>
                      <a:off x="0" y="0"/>
                      <a:ext cx="5849620" cy="8571865"/>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参考資料２　健診・医療・介護の一体的な分析</w:t>
      </w:r>
    </w:p>
    <w:p w:rsidR="00584782" w:rsidRDefault="003A4011">
      <w:pPr>
        <w:rPr>
          <w:rFonts w:ascii="ＭＳ Ｐゴシック" w:eastAsia="ＭＳ Ｐゴシック" w:hAnsi="ＭＳ Ｐゴシック"/>
          <w:sz w:val="18"/>
        </w:rPr>
      </w:pPr>
      <w:r>
        <w:rPr>
          <w:rFonts w:ascii="ＭＳ Ｐゴシック" w:eastAsia="ＭＳ Ｐゴシック" w:hAnsi="ＭＳ Ｐゴシック" w:hint="eastAsia"/>
          <w:sz w:val="22"/>
        </w:rPr>
        <w:t>①４０～</w:t>
      </w:r>
      <w:r>
        <w:rPr>
          <w:rFonts w:ascii="ＭＳ Ｐゴシック" w:eastAsia="ＭＳ Ｐゴシック" w:hAnsi="ＭＳ Ｐゴシック" w:hint="eastAsia"/>
          <w:sz w:val="22"/>
        </w:rPr>
        <w:t>64</w:t>
      </w:r>
      <w:r>
        <w:rPr>
          <w:rFonts w:ascii="ＭＳ Ｐゴシック" w:eastAsia="ＭＳ Ｐゴシック" w:hAnsi="ＭＳ Ｐゴシック" w:hint="eastAsia"/>
          <w:sz w:val="22"/>
        </w:rPr>
        <w:t>歳</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国保</w:t>
      </w:r>
      <w:r>
        <w:rPr>
          <w:rFonts w:ascii="ＭＳ Ｐゴシック" w:eastAsia="ＭＳ Ｐゴシック" w:hAnsi="ＭＳ Ｐゴシック" w:hint="eastAsia"/>
          <w:sz w:val="22"/>
        </w:rPr>
        <w:t>)</w:t>
      </w:r>
    </w:p>
    <w:p w:rsidR="00584782" w:rsidRDefault="003A4011">
      <w:pPr>
        <w:jc w:val="right"/>
        <w:rPr>
          <w:rFonts w:ascii="ＭＳ Ｐゴシック" w:eastAsia="ＭＳ Ｐゴシック" w:hAnsi="ＭＳ Ｐゴシック"/>
          <w:sz w:val="18"/>
        </w:rPr>
      </w:pPr>
      <w:r>
        <w:rPr>
          <w:rFonts w:hint="eastAsia"/>
          <w:noProof/>
        </w:rPr>
        <w:drawing>
          <wp:inline distT="0" distB="0" distL="203200" distR="203200">
            <wp:extent cx="7859395" cy="5810885"/>
            <wp:effectExtent l="0" t="0" r="0" b="0"/>
            <wp:docPr id="1121" name="オブジェクト 0"/>
            <wp:cNvGraphicFramePr/>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95"/>
                    <a:stretch>
                      <a:fillRect/>
                    </a:stretch>
                  </pic:blipFill>
                  <pic:spPr>
                    <a:xfrm rot="16200000">
                      <a:off x="0" y="0"/>
                      <a:ext cx="7859395" cy="5810885"/>
                    </a:xfrm>
                    <a:prstGeom prst="rect">
                      <a:avLst/>
                    </a:prstGeom>
                  </pic:spPr>
                </pic:pic>
              </a:graphicData>
            </a:graphic>
          </wp:inline>
        </w:drawing>
      </w:r>
    </w:p>
    <w:p w:rsidR="00584782" w:rsidRDefault="003A4011">
      <w:pPr>
        <w:jc w:val="right"/>
        <w:rPr>
          <w:rFonts w:ascii="ＭＳ Ｐゴシック" w:eastAsia="ＭＳ Ｐゴシック" w:hAnsi="ＭＳ Ｐゴシック"/>
          <w:sz w:val="18"/>
        </w:rPr>
      </w:pPr>
      <w:r>
        <w:rPr>
          <w:rFonts w:ascii="ＭＳ Ｐゴシック" w:eastAsia="ＭＳ Ｐゴシック" w:hAnsi="ＭＳ Ｐゴシック" w:hint="eastAsia"/>
          <w:sz w:val="18"/>
        </w:rPr>
        <w:t>出典・参照：保険者ﾃﾞｰﾀﾍﾙｽ支援ｼｽﾃﾑ</w:t>
      </w:r>
    </w:p>
    <w:p w:rsidR="00584782" w:rsidRDefault="00584782">
      <w:pPr>
        <w:jc w:val="right"/>
        <w:rPr>
          <w:rFonts w:ascii="ＭＳ Ｐゴシック" w:eastAsia="ＭＳ Ｐゴシック" w:hAnsi="ＭＳ Ｐゴシック"/>
          <w:sz w:val="18"/>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②６５～</w:t>
      </w:r>
      <w:r>
        <w:rPr>
          <w:rFonts w:ascii="ＭＳ Ｐゴシック" w:eastAsia="ＭＳ Ｐゴシック" w:hAnsi="ＭＳ Ｐゴシック" w:hint="eastAsia"/>
          <w:sz w:val="22"/>
        </w:rPr>
        <w:t>74</w:t>
      </w:r>
      <w:r>
        <w:rPr>
          <w:rFonts w:ascii="ＭＳ Ｐゴシック" w:eastAsia="ＭＳ Ｐゴシック" w:hAnsi="ＭＳ Ｐゴシック" w:hint="eastAsia"/>
          <w:sz w:val="22"/>
        </w:rPr>
        <w:t>歳</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国保</w:t>
      </w:r>
      <w:r>
        <w:rPr>
          <w:rFonts w:ascii="ＭＳ Ｐゴシック" w:eastAsia="ＭＳ Ｐゴシック" w:hAnsi="ＭＳ Ｐゴシック" w:hint="eastAsia"/>
          <w:sz w:val="22"/>
        </w:rPr>
        <w:t>)</w:t>
      </w:r>
    </w:p>
    <w:p w:rsidR="00584782" w:rsidRDefault="003A4011">
      <w:pPr>
        <w:jc w:val="right"/>
        <w:rPr>
          <w:rFonts w:ascii="ＭＳ Ｐゴシック" w:eastAsia="ＭＳ Ｐゴシック" w:hAnsi="ＭＳ Ｐゴシック"/>
          <w:sz w:val="18"/>
        </w:rPr>
      </w:pPr>
      <w:r>
        <w:rPr>
          <w:rFonts w:hint="eastAsia"/>
          <w:noProof/>
        </w:rPr>
        <w:drawing>
          <wp:inline distT="0" distB="0" distL="203200" distR="203200">
            <wp:extent cx="8387715" cy="5408295"/>
            <wp:effectExtent l="0" t="0" r="0" b="0"/>
            <wp:docPr id="1122" name="オブジェクト 0"/>
            <wp:cNvGraphicFramePr/>
            <a:graphic xmlns:a="http://schemas.openxmlformats.org/drawingml/2006/main">
              <a:graphicData uri="http://schemas.openxmlformats.org/drawingml/2006/picture">
                <pic:pic xmlns:pic="http://schemas.openxmlformats.org/drawingml/2006/picture">
                  <pic:nvPicPr>
                    <pic:cNvPr id="1122" name="オブジェクト 0"/>
                    <pic:cNvPicPr>
                      <a:picLocks noChangeAspect="1"/>
                    </pic:cNvPicPr>
                  </pic:nvPicPr>
                  <pic:blipFill>
                    <a:blip r:embed="rId96"/>
                    <a:stretch>
                      <a:fillRect/>
                    </a:stretch>
                  </pic:blipFill>
                  <pic:spPr>
                    <a:xfrm rot="16200000">
                      <a:off x="0" y="0"/>
                      <a:ext cx="8387715" cy="5408295"/>
                    </a:xfrm>
                    <a:prstGeom prst="rect">
                      <a:avLst/>
                    </a:prstGeom>
                  </pic:spPr>
                </pic:pic>
              </a:graphicData>
            </a:graphic>
          </wp:inline>
        </w:drawing>
      </w:r>
    </w:p>
    <w:p w:rsidR="00584782" w:rsidRDefault="003A4011">
      <w:pPr>
        <w:ind w:firstLineChars="2700" w:firstLine="4860"/>
        <w:rPr>
          <w:rFonts w:ascii="ＭＳ Ｐゴシック" w:eastAsia="ＭＳ Ｐゴシック" w:hAnsi="ＭＳ Ｐゴシック"/>
          <w:sz w:val="18"/>
        </w:rPr>
      </w:pPr>
      <w:r>
        <w:rPr>
          <w:rFonts w:ascii="ＭＳ Ｐゴシック" w:eastAsia="ＭＳ Ｐゴシック" w:hAnsi="ＭＳ Ｐゴシック" w:hint="eastAsia"/>
          <w:sz w:val="18"/>
        </w:rPr>
        <w:t xml:space="preserve">　　　　　　　　　　　　　　出典・参照：保険者ﾃﾞｰﾀﾍﾙｽ支援ｼｽﾃﾑ　</w:t>
      </w:r>
    </w:p>
    <w:p w:rsidR="00584782" w:rsidRDefault="003A4011">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③６５～</w:t>
      </w:r>
      <w:r>
        <w:rPr>
          <w:rFonts w:ascii="ＭＳ Ｐゴシック" w:eastAsia="ＭＳ Ｐゴシック" w:hAnsi="ＭＳ Ｐゴシック" w:hint="eastAsia"/>
          <w:sz w:val="22"/>
        </w:rPr>
        <w:t>74</w:t>
      </w:r>
      <w:r>
        <w:rPr>
          <w:rFonts w:ascii="ＭＳ Ｐゴシック" w:eastAsia="ＭＳ Ｐゴシック" w:hAnsi="ＭＳ Ｐゴシック" w:hint="eastAsia"/>
          <w:sz w:val="22"/>
        </w:rPr>
        <w:t>歳</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後期</w:t>
      </w:r>
      <w:r>
        <w:rPr>
          <w:rFonts w:ascii="ＭＳ Ｐゴシック" w:eastAsia="ＭＳ Ｐゴシック" w:hAnsi="ＭＳ Ｐゴシック" w:hint="eastAsia"/>
          <w:sz w:val="22"/>
        </w:rPr>
        <w:t>)</w:t>
      </w:r>
      <w:r>
        <w:rPr>
          <w:rFonts w:hint="eastAsia"/>
        </w:rPr>
        <w:object w:dxaOrig="30720" w:dyaOrig="30720" w14:anchorId="0278F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608pt;height:100608pt" o:ole="">
            <v:imagedata r:id="rId97" o:title=""/>
          </v:shape>
          <o:OLEObject Type="Embed" ProgID="Excel.Sheet.12" ShapeID="_x0000_i1025" DrawAspect="Content" ObjectID="_1777802145" r:id="rId98"/>
        </w:object>
      </w:r>
      <w:r>
        <w:rPr>
          <w:rFonts w:hint="eastAsia"/>
          <w:noProof/>
        </w:rPr>
        <w:drawing>
          <wp:inline distT="0" distB="0" distL="203200" distR="203200">
            <wp:extent cx="7976870" cy="5779770"/>
            <wp:effectExtent l="0" t="0" r="0" b="0"/>
            <wp:docPr id="1124" name="オブジェクト 0"/>
            <wp:cNvGraphicFramePr/>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99"/>
                    <a:stretch>
                      <a:fillRect/>
                    </a:stretch>
                  </pic:blipFill>
                  <pic:spPr>
                    <a:xfrm rot="16200000">
                      <a:off x="0" y="0"/>
                      <a:ext cx="7976870" cy="5779770"/>
                    </a:xfrm>
                    <a:prstGeom prst="rect">
                      <a:avLst/>
                    </a:prstGeom>
                  </pic:spPr>
                </pic:pic>
              </a:graphicData>
            </a:graphic>
          </wp:inline>
        </w:drawing>
      </w:r>
    </w:p>
    <w:p w:rsidR="00584782" w:rsidRDefault="00584782">
      <w:pPr>
        <w:ind w:rightChars="-213" w:right="-447"/>
        <w:rPr>
          <w:rFonts w:ascii="ＭＳ Ｐゴシック" w:eastAsia="ＭＳ Ｐゴシック" w:hAnsi="ＭＳ Ｐゴシック"/>
          <w:sz w:val="22"/>
        </w:rPr>
      </w:pPr>
    </w:p>
    <w:p w:rsidR="00584782" w:rsidRDefault="003A4011">
      <w:pPr>
        <w:ind w:rightChars="-113" w:right="-237" w:firstLineChars="3300" w:firstLine="5940"/>
        <w:rPr>
          <w:rFonts w:ascii="ＭＳ Ｐゴシック" w:eastAsia="ＭＳ Ｐゴシック" w:hAnsi="ＭＳ Ｐゴシック"/>
          <w:sz w:val="18"/>
        </w:rPr>
      </w:pPr>
      <w:r>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 xml:space="preserve">出典・参照：保険者ﾃﾞｰﾀﾍﾙｽ支援ｼｽﾃﾑ　　　　　　　</w:t>
      </w:r>
    </w:p>
    <w:p w:rsidR="00584782" w:rsidRDefault="003A4011">
      <w:pPr>
        <w:ind w:rightChars="-113" w:right="-237"/>
        <w:rPr>
          <w:rFonts w:ascii="ＭＳ Ｐゴシック" w:eastAsia="ＭＳ Ｐゴシック" w:hAnsi="ＭＳ Ｐゴシック"/>
          <w:sz w:val="22"/>
        </w:rPr>
      </w:pPr>
      <w:r>
        <w:rPr>
          <w:rFonts w:ascii="ＭＳ Ｐゴシック" w:eastAsia="ＭＳ Ｐゴシック" w:hAnsi="ＭＳ Ｐゴシック" w:hint="eastAsia"/>
          <w:sz w:val="22"/>
        </w:rPr>
        <w:t>④</w:t>
      </w:r>
      <w:r>
        <w:rPr>
          <w:rFonts w:ascii="ＭＳ Ｐゴシック" w:eastAsia="ＭＳ Ｐゴシック" w:hAnsi="ＭＳ Ｐゴシック" w:hint="eastAsia"/>
          <w:sz w:val="22"/>
        </w:rPr>
        <w:t>75</w:t>
      </w:r>
      <w:r>
        <w:rPr>
          <w:rFonts w:ascii="ＭＳ Ｐゴシック" w:eastAsia="ＭＳ Ｐゴシック" w:hAnsi="ＭＳ Ｐゴシック" w:hint="eastAsia"/>
          <w:sz w:val="22"/>
        </w:rPr>
        <w:t>歳以上</w:t>
      </w:r>
      <w:r>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後期</w:t>
      </w:r>
      <w:r>
        <w:rPr>
          <w:rFonts w:ascii="ＭＳ Ｐゴシック" w:eastAsia="ＭＳ Ｐゴシック" w:hAnsi="ＭＳ Ｐゴシック" w:hint="eastAsia"/>
          <w:sz w:val="22"/>
        </w:rPr>
        <w:t>)</w:t>
      </w:r>
    </w:p>
    <w:p w:rsidR="00584782" w:rsidRDefault="003A4011">
      <w:pPr>
        <w:ind w:left="6720" w:rightChars="-149" w:right="-313" w:hangingChars="3200" w:hanging="6720"/>
        <w:rPr>
          <w:rFonts w:ascii="ＭＳ Ｐゴシック" w:eastAsia="ＭＳ Ｐゴシック" w:hAnsi="ＭＳ Ｐゴシック"/>
          <w:sz w:val="18"/>
        </w:rPr>
      </w:pPr>
      <w:r>
        <w:rPr>
          <w:rFonts w:hint="eastAsia"/>
          <w:noProof/>
        </w:rPr>
        <w:lastRenderedPageBreak/>
        <w:drawing>
          <wp:inline distT="0" distB="0" distL="203200" distR="203200">
            <wp:extent cx="8372475" cy="6243320"/>
            <wp:effectExtent l="0" t="0" r="0" b="0"/>
            <wp:docPr id="1125" name="オブジェクト 0"/>
            <wp:cNvGraphicFramePr/>
            <a:graphic xmlns:a="http://schemas.openxmlformats.org/drawingml/2006/main">
              <a:graphicData uri="http://schemas.openxmlformats.org/drawingml/2006/picture">
                <pic:pic xmlns:pic="http://schemas.openxmlformats.org/drawingml/2006/picture">
                  <pic:nvPicPr>
                    <pic:cNvPr id="1125" name="オブジェクト 0"/>
                    <pic:cNvPicPr>
                      <a:picLocks noChangeAspect="1"/>
                    </pic:cNvPicPr>
                  </pic:nvPicPr>
                  <pic:blipFill>
                    <a:blip r:embed="rId100"/>
                    <a:stretch>
                      <a:fillRect/>
                    </a:stretch>
                  </pic:blipFill>
                  <pic:spPr>
                    <a:xfrm rot="16200000">
                      <a:off x="0" y="0"/>
                      <a:ext cx="8372475" cy="6243320"/>
                    </a:xfrm>
                    <a:prstGeom prst="rect">
                      <a:avLst/>
                    </a:prstGeom>
                  </pic:spPr>
                </pic:pic>
              </a:graphicData>
            </a:graphic>
          </wp:inline>
        </w:drawing>
      </w:r>
      <w:r>
        <w:rPr>
          <w:rFonts w:hint="eastAsia"/>
        </w:rPr>
        <w:t xml:space="preserve">　　　　　　　　　　　　　　　　　　　</w:t>
      </w:r>
      <w:r>
        <w:rPr>
          <w:rFonts w:ascii="ＭＳ Ｐゴシック" w:eastAsia="ＭＳ Ｐゴシック" w:hAnsi="ＭＳ Ｐゴシック" w:hint="eastAsia"/>
          <w:sz w:val="18"/>
        </w:rPr>
        <w:t>出典・参照：保険者ﾃﾞｰﾀﾍﾙｽ支援ｼｽﾃﾑ</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Pr>
          <w:rFonts w:ascii="ＭＳ Ｐゴシック" w:eastAsia="ＭＳ Ｐゴシック" w:hAnsi="ＭＳ Ｐゴシック" w:hint="eastAsia"/>
          <w:sz w:val="22"/>
        </w:rPr>
        <w:t>3</w:t>
      </w:r>
      <w:r>
        <w:rPr>
          <w:rFonts w:ascii="ＭＳ Ｐゴシック" w:eastAsia="ＭＳ Ｐゴシック" w:hAnsi="ＭＳ Ｐゴシック" w:hint="eastAsia"/>
          <w:sz w:val="22"/>
        </w:rPr>
        <w:t xml:space="preserve">　糖尿病性腎症重症化予防の取組評価</w:t>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6067425" cy="8295640"/>
            <wp:effectExtent l="0" t="0" r="0" b="0"/>
            <wp:docPr id="1126" name="オブジェクト 0"/>
            <wp:cNvGraphicFramePr/>
            <a:graphic xmlns:a="http://schemas.openxmlformats.org/drawingml/2006/main">
              <a:graphicData uri="http://schemas.openxmlformats.org/drawingml/2006/picture">
                <pic:pic xmlns:pic="http://schemas.openxmlformats.org/drawingml/2006/picture">
                  <pic:nvPicPr>
                    <pic:cNvPr id="1126" name="オブジェクト 0"/>
                    <pic:cNvPicPr>
                      <a:picLocks noChangeAspect="1"/>
                    </pic:cNvPicPr>
                  </pic:nvPicPr>
                  <pic:blipFill>
                    <a:blip r:embed="rId101"/>
                    <a:stretch>
                      <a:fillRect/>
                    </a:stretch>
                  </pic:blipFill>
                  <pic:spPr>
                    <a:xfrm>
                      <a:off x="0" y="0"/>
                      <a:ext cx="6067425" cy="8295640"/>
                    </a:xfrm>
                    <a:prstGeom prst="rect">
                      <a:avLst/>
                    </a:prstGeom>
                  </pic:spPr>
                </pic:pic>
              </a:graphicData>
            </a:graphic>
          </wp:inline>
        </w:drawing>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参考資料４　糖尿病重症化予防のためのレセプトと健診データの突合</w:t>
      </w:r>
    </w:p>
    <w:p w:rsidR="00584782" w:rsidRDefault="003A4011">
      <w:pPr>
        <w:rPr>
          <w:rFonts w:ascii="ＭＳ Ｐゴシック" w:eastAsia="ＭＳ Ｐゴシック" w:hAnsi="ＭＳ Ｐゴシック"/>
          <w:sz w:val="18"/>
        </w:rPr>
      </w:pPr>
      <w:r>
        <w:rPr>
          <w:rFonts w:hint="eastAsia"/>
          <w:noProof/>
        </w:rPr>
        <w:lastRenderedPageBreak/>
        <w:drawing>
          <wp:inline distT="0" distB="0" distL="203200" distR="203200">
            <wp:extent cx="8269605" cy="5992495"/>
            <wp:effectExtent l="0" t="0" r="0" b="0"/>
            <wp:docPr id="1127" name="オブジェクト 0"/>
            <wp:cNvGraphicFramePr/>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102"/>
                    <a:stretch>
                      <a:fillRect/>
                    </a:stretch>
                  </pic:blipFill>
                  <pic:spPr>
                    <a:xfrm rot="16200000">
                      <a:off x="0" y="0"/>
                      <a:ext cx="8269605" cy="5992495"/>
                    </a:xfrm>
                    <a:prstGeom prst="rect">
                      <a:avLst/>
                    </a:prstGeom>
                  </pic:spPr>
                </pic:pic>
              </a:graphicData>
            </a:graphic>
          </wp:inline>
        </w:drawing>
      </w:r>
    </w:p>
    <w:p w:rsidR="00584782" w:rsidRDefault="003A4011">
      <w:pPr>
        <w:ind w:rightChars="50" w:right="105" w:firstLineChars="3600" w:firstLine="6480"/>
        <w:rPr>
          <w:rFonts w:ascii="ＭＳ Ｐゴシック" w:eastAsia="ＭＳ Ｐゴシック" w:hAnsi="ＭＳ Ｐゴシック"/>
          <w:sz w:val="18"/>
        </w:rPr>
      </w:pPr>
      <w:r>
        <w:rPr>
          <w:rFonts w:ascii="ＭＳ Ｐゴシック" w:eastAsia="ＭＳ Ｐゴシック" w:hAnsi="ＭＳ Ｐゴシック" w:hint="eastAsia"/>
          <w:sz w:val="18"/>
        </w:rPr>
        <w:t>出典・参照：保険者ﾃﾞｰﾀﾍﾙｽ支援ｼｽﾃﾑ</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参考資料５　高血圧重症化予防のためのレセプトと健診データの突合</w:t>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8050530" cy="5965190"/>
            <wp:effectExtent l="0" t="0" r="0" b="0"/>
            <wp:docPr id="1128" name="オブジェクト 0"/>
            <wp:cNvGraphicFramePr/>
            <a:graphic xmlns:a="http://schemas.openxmlformats.org/drawingml/2006/main">
              <a:graphicData uri="http://schemas.openxmlformats.org/drawingml/2006/picture">
                <pic:pic xmlns:pic="http://schemas.openxmlformats.org/drawingml/2006/picture">
                  <pic:nvPicPr>
                    <pic:cNvPr id="1128" name="オブジェクト 0"/>
                    <pic:cNvPicPr>
                      <a:picLocks noChangeAspect="1"/>
                    </pic:cNvPicPr>
                  </pic:nvPicPr>
                  <pic:blipFill>
                    <a:blip r:embed="rId103"/>
                    <a:stretch>
                      <a:fillRect/>
                    </a:stretch>
                  </pic:blipFill>
                  <pic:spPr>
                    <a:xfrm rot="16200000">
                      <a:off x="0" y="0"/>
                      <a:ext cx="8050530" cy="5965190"/>
                    </a:xfrm>
                    <a:prstGeom prst="rect">
                      <a:avLst/>
                    </a:prstGeom>
                  </pic:spPr>
                </pic:pic>
              </a:graphicData>
            </a:graphic>
          </wp:inline>
        </w:drawing>
      </w:r>
    </w:p>
    <w:p w:rsidR="00584782" w:rsidRDefault="00584782">
      <w:pPr>
        <w:jc w:val="right"/>
        <w:rPr>
          <w:rFonts w:ascii="ＭＳ Ｐゴシック" w:eastAsia="ＭＳ Ｐゴシック" w:hAnsi="ＭＳ Ｐゴシック"/>
          <w:sz w:val="22"/>
        </w:rPr>
      </w:pPr>
    </w:p>
    <w:p w:rsidR="00584782" w:rsidRDefault="003A4011">
      <w:pPr>
        <w:ind w:firstLineChars="1800" w:firstLine="3240"/>
        <w:rPr>
          <w:rFonts w:ascii="ＭＳ Ｐゴシック" w:eastAsia="ＭＳ Ｐゴシック" w:hAnsi="ＭＳ Ｐゴシック"/>
          <w:sz w:val="22"/>
        </w:rPr>
      </w:pPr>
      <w:r>
        <w:rPr>
          <w:rFonts w:ascii="ＭＳ Ｐゴシック" w:eastAsia="ＭＳ Ｐゴシック" w:hAnsi="ＭＳ Ｐゴシック" w:hint="eastAsia"/>
          <w:sz w:val="18"/>
        </w:rPr>
        <w:t xml:space="preserve">　　　　　　　　　　　　　　　　　　　　　　　　　　　　　　　　出典・参照：</w:t>
      </w:r>
      <w:r>
        <w:rPr>
          <w:rFonts w:ascii="ＭＳ Ｐゴシック" w:eastAsia="ＭＳ Ｐゴシック" w:hAnsi="ＭＳ Ｐゴシック" w:hint="eastAsia"/>
          <w:sz w:val="18"/>
        </w:rPr>
        <w:t>KDB</w:t>
      </w:r>
      <w:r>
        <w:rPr>
          <w:rFonts w:ascii="ＭＳ Ｐゴシック" w:eastAsia="ＭＳ Ｐゴシック" w:hAnsi="ＭＳ Ｐゴシック" w:hint="eastAsia"/>
          <w:sz w:val="18"/>
        </w:rPr>
        <w:t>ｼｽﾃﾑ改変</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参考資料６　脂質異常症重症化予防のためのレセプトと健診データの突合</w:t>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8116570" cy="5972175"/>
            <wp:effectExtent l="0" t="0" r="0" b="0"/>
            <wp:docPr id="1129" name="オブジェクト 0"/>
            <wp:cNvGraphicFramePr/>
            <a:graphic xmlns:a="http://schemas.openxmlformats.org/drawingml/2006/main">
              <a:graphicData uri="http://schemas.openxmlformats.org/drawingml/2006/picture">
                <pic:pic xmlns:pic="http://schemas.openxmlformats.org/drawingml/2006/picture">
                  <pic:nvPicPr>
                    <pic:cNvPr id="1129" name="オブジェクト 0"/>
                    <pic:cNvPicPr>
                      <a:picLocks noChangeAspect="1"/>
                    </pic:cNvPicPr>
                  </pic:nvPicPr>
                  <pic:blipFill>
                    <a:blip r:embed="rId104"/>
                    <a:stretch>
                      <a:fillRect/>
                    </a:stretch>
                  </pic:blipFill>
                  <pic:spPr>
                    <a:xfrm rot="16200000">
                      <a:off x="0" y="0"/>
                      <a:ext cx="8116570" cy="5972175"/>
                    </a:xfrm>
                    <a:prstGeom prst="rect">
                      <a:avLst/>
                    </a:prstGeom>
                  </pic:spPr>
                </pic:pic>
              </a:graphicData>
            </a:graphic>
          </wp:inline>
        </w:drawing>
      </w:r>
    </w:p>
    <w:p w:rsidR="00584782" w:rsidRDefault="003A4011">
      <w:pPr>
        <w:ind w:rightChars="50" w:right="105" w:firstLineChars="4100" w:firstLine="7380"/>
        <w:rPr>
          <w:rFonts w:ascii="ＭＳ Ｐゴシック" w:eastAsia="ＭＳ Ｐゴシック" w:hAnsi="ＭＳ Ｐゴシック"/>
          <w:sz w:val="18"/>
        </w:rPr>
      </w:pPr>
      <w:r>
        <w:rPr>
          <w:rFonts w:ascii="ＭＳ Ｐゴシック" w:eastAsia="ＭＳ Ｐゴシック" w:hAnsi="ＭＳ Ｐゴシック" w:hint="eastAsia"/>
          <w:sz w:val="18"/>
        </w:rPr>
        <w:t>出典・参照：</w:t>
      </w:r>
      <w:r>
        <w:rPr>
          <w:rFonts w:ascii="ＭＳ Ｐゴシック" w:eastAsia="ＭＳ Ｐゴシック" w:hAnsi="ＭＳ Ｐゴシック" w:hint="eastAsia"/>
          <w:sz w:val="18"/>
        </w:rPr>
        <w:t>KDB</w:t>
      </w:r>
      <w:r>
        <w:rPr>
          <w:rFonts w:ascii="ＭＳ Ｐゴシック" w:eastAsia="ＭＳ Ｐゴシック" w:hAnsi="ＭＳ Ｐゴシック" w:hint="eastAsia"/>
          <w:sz w:val="18"/>
        </w:rPr>
        <w:t>ｼｽﾃﾑ改変</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参考資料７　</w:t>
      </w:r>
      <w:r>
        <w:rPr>
          <w:rFonts w:ascii="ＭＳ Ｐゴシック" w:eastAsia="ＭＳ Ｐゴシック" w:hAnsi="ＭＳ Ｐゴシック" w:hint="eastAsia"/>
          <w:sz w:val="22"/>
        </w:rPr>
        <w:t>HbA1C</w:t>
      </w:r>
      <w:r>
        <w:rPr>
          <w:rFonts w:ascii="ＭＳ Ｐゴシック" w:eastAsia="ＭＳ Ｐゴシック" w:hAnsi="ＭＳ Ｐゴシック" w:hint="eastAsia"/>
          <w:sz w:val="22"/>
        </w:rPr>
        <w:t>の年次比較</w:t>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6067425" cy="8308340"/>
            <wp:effectExtent l="0" t="0" r="0" b="0"/>
            <wp:docPr id="1130" name="オブジェクト 0"/>
            <wp:cNvGraphicFramePr/>
            <a:graphic xmlns:a="http://schemas.openxmlformats.org/drawingml/2006/main">
              <a:graphicData uri="http://schemas.openxmlformats.org/drawingml/2006/picture">
                <pic:pic xmlns:pic="http://schemas.openxmlformats.org/drawingml/2006/picture">
                  <pic:nvPicPr>
                    <pic:cNvPr id="1130" name="オブジェクト 0"/>
                    <pic:cNvPicPr>
                      <a:picLocks noChangeAspect="1"/>
                    </pic:cNvPicPr>
                  </pic:nvPicPr>
                  <pic:blipFill>
                    <a:blip r:embed="rId105"/>
                    <a:stretch>
                      <a:fillRect/>
                    </a:stretch>
                  </pic:blipFill>
                  <pic:spPr>
                    <a:xfrm>
                      <a:off x="0" y="0"/>
                      <a:ext cx="6067425" cy="8308340"/>
                    </a:xfrm>
                    <a:prstGeom prst="rect">
                      <a:avLst/>
                    </a:prstGeom>
                  </pic:spPr>
                </pic:pic>
              </a:graphicData>
            </a:graphic>
          </wp:inline>
        </w:drawing>
      </w:r>
    </w:p>
    <w:p w:rsidR="00584782" w:rsidRDefault="003A4011">
      <w:pPr>
        <w:ind w:firstLineChars="3600" w:firstLine="6480"/>
        <w:rPr>
          <w:rFonts w:ascii="ＭＳ Ｐゴシック" w:eastAsia="ＭＳ Ｐゴシック" w:hAnsi="ＭＳ Ｐゴシック"/>
          <w:sz w:val="22"/>
        </w:rPr>
      </w:pPr>
      <w:r>
        <w:rPr>
          <w:rFonts w:ascii="ＭＳ Ｐゴシック" w:eastAsia="ＭＳ Ｐゴシック" w:hAnsi="ＭＳ Ｐゴシック" w:hint="eastAsia"/>
          <w:sz w:val="18"/>
        </w:rPr>
        <w:t>出典・参照：特定健診等ﾃﾞｰﾀ管理ｼｽﾃﾑ</w:t>
      </w: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参考資料８　血圧の年次比較</w:t>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6067425" cy="8173085"/>
            <wp:effectExtent l="0" t="0" r="0" b="0"/>
            <wp:docPr id="1131" name="オブジェクト 0"/>
            <wp:cNvGraphicFramePr/>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106"/>
                    <a:stretch>
                      <a:fillRect/>
                    </a:stretch>
                  </pic:blipFill>
                  <pic:spPr>
                    <a:xfrm>
                      <a:off x="0" y="0"/>
                      <a:ext cx="6067425" cy="8173085"/>
                    </a:xfrm>
                    <a:prstGeom prst="rect">
                      <a:avLst/>
                    </a:prstGeom>
                  </pic:spPr>
                </pic:pic>
              </a:graphicData>
            </a:graphic>
          </wp:inline>
        </w:drawing>
      </w:r>
    </w:p>
    <w:p w:rsidR="00584782" w:rsidRDefault="003A4011">
      <w:pPr>
        <w:ind w:firstLineChars="3600" w:firstLine="6480"/>
        <w:rPr>
          <w:rFonts w:ascii="ＭＳ Ｐゴシック" w:eastAsia="ＭＳ Ｐゴシック" w:hAnsi="ＭＳ Ｐゴシック"/>
          <w:sz w:val="22"/>
        </w:rPr>
      </w:pPr>
      <w:r>
        <w:rPr>
          <w:rFonts w:ascii="ＭＳ Ｐゴシック" w:eastAsia="ＭＳ Ｐゴシック" w:hAnsi="ＭＳ Ｐゴシック" w:hint="eastAsia"/>
          <w:sz w:val="18"/>
        </w:rPr>
        <w:t>出典・参照：特定健診等ﾃﾞｰﾀ管理ｼｽﾃﾑ</w:t>
      </w:r>
    </w:p>
    <w:p w:rsidR="00584782" w:rsidRDefault="00584782">
      <w:pPr>
        <w:rPr>
          <w:rFonts w:ascii="ＭＳ Ｐゴシック" w:eastAsia="ＭＳ Ｐゴシック" w:hAnsi="ＭＳ Ｐゴシック"/>
          <w:sz w:val="22"/>
        </w:rPr>
      </w:pPr>
    </w:p>
    <w:p w:rsidR="00584782" w:rsidRDefault="003A4011">
      <w:pPr>
        <w:rPr>
          <w:rFonts w:ascii="ＭＳ Ｐゴシック" w:eastAsia="ＭＳ Ｐゴシック" w:hAnsi="ＭＳ Ｐゴシック"/>
          <w:sz w:val="22"/>
        </w:rPr>
      </w:pPr>
      <w:r>
        <w:rPr>
          <w:rFonts w:ascii="ＭＳ Ｐゴシック" w:eastAsia="ＭＳ Ｐゴシック" w:hAnsi="ＭＳ Ｐゴシック" w:hint="eastAsia"/>
          <w:sz w:val="22"/>
        </w:rPr>
        <w:t>参考資料</w:t>
      </w:r>
      <w:r>
        <w:rPr>
          <w:rFonts w:ascii="ＭＳ Ｐゴシック" w:eastAsia="ＭＳ Ｐゴシック" w:hAnsi="ＭＳ Ｐゴシック" w:hint="eastAsia"/>
          <w:sz w:val="22"/>
        </w:rPr>
        <w:t>9</w:t>
      </w: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LDL-C</w:t>
      </w:r>
      <w:r>
        <w:rPr>
          <w:rFonts w:ascii="ＭＳ Ｐゴシック" w:eastAsia="ＭＳ Ｐゴシック" w:hAnsi="ＭＳ Ｐゴシック" w:hint="eastAsia"/>
          <w:sz w:val="22"/>
        </w:rPr>
        <w:t>の年次比較</w:t>
      </w:r>
    </w:p>
    <w:p w:rsidR="00584782" w:rsidRDefault="003A4011">
      <w:pPr>
        <w:rPr>
          <w:rFonts w:ascii="ＭＳ Ｐゴシック" w:eastAsia="ＭＳ Ｐゴシック" w:hAnsi="ＭＳ Ｐゴシック"/>
          <w:sz w:val="22"/>
        </w:rPr>
      </w:pPr>
      <w:r>
        <w:rPr>
          <w:rFonts w:hint="eastAsia"/>
          <w:noProof/>
        </w:rPr>
        <w:lastRenderedPageBreak/>
        <w:drawing>
          <wp:inline distT="0" distB="0" distL="203200" distR="203200">
            <wp:extent cx="5849620" cy="8346440"/>
            <wp:effectExtent l="0" t="0" r="0" b="0"/>
            <wp:docPr id="1132" name="オブジェクト 0"/>
            <wp:cNvGraphicFramePr/>
            <a:graphic xmlns:a="http://schemas.openxmlformats.org/drawingml/2006/main">
              <a:graphicData uri="http://schemas.openxmlformats.org/drawingml/2006/picture">
                <pic:pic xmlns:pic="http://schemas.openxmlformats.org/drawingml/2006/picture">
                  <pic:nvPicPr>
                    <pic:cNvPr id="1132" name="オブジェクト 0"/>
                    <pic:cNvPicPr>
                      <a:picLocks noChangeAspect="1"/>
                    </pic:cNvPicPr>
                  </pic:nvPicPr>
                  <pic:blipFill>
                    <a:blip r:embed="rId107"/>
                    <a:stretch>
                      <a:fillRect/>
                    </a:stretch>
                  </pic:blipFill>
                  <pic:spPr>
                    <a:xfrm>
                      <a:off x="0" y="0"/>
                      <a:ext cx="5849620" cy="8346440"/>
                    </a:xfrm>
                    <a:prstGeom prst="rect">
                      <a:avLst/>
                    </a:prstGeom>
                  </pic:spPr>
                </pic:pic>
              </a:graphicData>
            </a:graphic>
          </wp:inline>
        </w:drawing>
      </w:r>
    </w:p>
    <w:p w:rsidR="00584782" w:rsidRDefault="003A4011">
      <w:pPr>
        <w:ind w:firstLineChars="100" w:firstLine="180"/>
        <w:rPr>
          <w:rFonts w:ascii="ＭＳ Ｐゴシック" w:eastAsia="ＭＳ Ｐゴシック" w:hAnsi="ＭＳ Ｐゴシック"/>
          <w:sz w:val="22"/>
        </w:rPr>
      </w:pPr>
      <w:r>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 xml:space="preserve">　　　　　　　　　　　　　　　　　　　　　　　　　　　　　　出典・参照：特定健診等ﾃﾞｰﾀ管理ｼｽﾃﾑ</w:t>
      </w:r>
    </w:p>
    <w:sectPr w:rsidR="00584782">
      <w:footerReference w:type="default" r:id="rId108"/>
      <w:pgSz w:w="11906" w:h="16838"/>
      <w:pgMar w:top="1418" w:right="933" w:bottom="1134" w:left="1418" w:header="851" w:footer="567"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011" w:rsidRDefault="003A4011">
      <w:r>
        <w:separator/>
      </w:r>
    </w:p>
  </w:endnote>
  <w:endnote w:type="continuationSeparator" w:id="0">
    <w:p w:rsidR="003A4011" w:rsidRDefault="003A4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782" w:rsidRDefault="00584782">
    <w:pPr>
      <w:pStyle w:val="a6"/>
      <w:jc w:val="center"/>
    </w:pPr>
  </w:p>
  <w:p w:rsidR="00584782" w:rsidRDefault="0058478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673398"/>
      <w:docPartObj>
        <w:docPartGallery w:val="Page Numbers (Bottom of Page)"/>
        <w:docPartUnique/>
      </w:docPartObj>
    </w:sdtPr>
    <w:sdtEndPr/>
    <w:sdtContent>
      <w:p w:rsidR="00584782" w:rsidRDefault="003A4011">
        <w:pPr>
          <w:pStyle w:val="a6"/>
          <w:jc w:val="center"/>
        </w:pPr>
        <w:r>
          <w:rPr>
            <w:rFonts w:hint="eastAsia"/>
          </w:rPr>
          <w:fldChar w:fldCharType="begin"/>
        </w:r>
        <w:r>
          <w:rPr>
            <w:rFonts w:hint="eastAsia"/>
          </w:rPr>
          <w:instrText xml:space="preserve">PAGE  \* MERGEFORMAT </w:instrText>
        </w:r>
        <w:r>
          <w:rPr>
            <w:rFonts w:hint="eastAsia"/>
          </w:rPr>
          <w:fldChar w:fldCharType="separate"/>
        </w:r>
        <w:r w:rsidR="00342521">
          <w:rPr>
            <w:noProof/>
          </w:rPr>
          <w:t>87</w:t>
        </w:r>
        <w:r>
          <w:rPr>
            <w:rFonts w:hint="eastAsia"/>
          </w:rPr>
          <w:fldChar w:fldCharType="end"/>
        </w:r>
      </w:p>
    </w:sdtContent>
  </w:sdt>
  <w:p w:rsidR="00584782" w:rsidRDefault="0058478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011" w:rsidRDefault="003A4011">
      <w:r>
        <w:separator/>
      </w:r>
    </w:p>
  </w:footnote>
  <w:footnote w:type="continuationSeparator" w:id="0">
    <w:p w:rsidR="003A4011" w:rsidRDefault="003A4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E80B104"/>
    <w:lvl w:ilvl="0" w:tplc="06881402">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60A269C">
      <w:start w:val="2"/>
      <w:numFmt w:val="decimal"/>
      <w:lvlText w:val="第%3章"/>
      <w:lvlJc w:val="left"/>
      <w:pPr>
        <w:ind w:left="1560" w:hanging="720"/>
      </w:pPr>
      <w:rPr>
        <w:rFonts w:hint="default"/>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17B034A8"/>
    <w:lvl w:ilvl="0" w:tplc="C78A9D04">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FBFC9D3E"/>
    <w:lvl w:ilvl="0" w:tplc="9DBCC0F6">
      <w:start w:val="1"/>
      <w:numFmt w:val="decimal"/>
      <w:lvlText w:val="（%1）"/>
      <w:lvlJc w:val="left"/>
      <w:pPr>
        <w:ind w:left="360" w:hanging="360"/>
      </w:pPr>
      <w:rPr>
        <w:rFonts w:hint="default"/>
      </w:rPr>
    </w:lvl>
    <w:lvl w:ilvl="1" w:tplc="6D9686DE">
      <w:start w:val="1"/>
      <w:numFmt w:val="decimalEnclosedCircle"/>
      <w:lvlText w:val="%2"/>
      <w:lvlJc w:val="left"/>
      <w:pPr>
        <w:ind w:left="800" w:hanging="360"/>
      </w:pPr>
      <w:rPr>
        <w:rFonts w:hint="default"/>
      </w:r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0000004"/>
    <w:multiLevelType w:val="hybridMultilevel"/>
    <w:tmpl w:val="CEFE5C08"/>
    <w:lvl w:ilvl="0" w:tplc="535C853C">
      <w:start w:val="1"/>
      <w:numFmt w:val="decimalEnclosedCircle"/>
      <w:lvlText w:val="%1"/>
      <w:lvlJc w:val="left"/>
      <w:pPr>
        <w:ind w:left="585" w:hanging="360"/>
      </w:pPr>
      <w:rPr>
        <w:rFonts w:hint="default"/>
      </w:rPr>
    </w:lvl>
    <w:lvl w:ilvl="1" w:tplc="04090017">
      <w:start w:val="1"/>
      <w:numFmt w:val="aiueoFullWidth"/>
      <w:lvlText w:val="(%2)"/>
      <w:lvlJc w:val="left"/>
      <w:pPr>
        <w:ind w:left="1105" w:hanging="440"/>
      </w:pPr>
    </w:lvl>
    <w:lvl w:ilvl="2" w:tplc="04090011">
      <w:start w:val="1"/>
      <w:numFmt w:val="decimalEnclosedCircle"/>
      <w:lvlText w:val="%3"/>
      <w:lvlJc w:val="left"/>
      <w:pPr>
        <w:ind w:left="1545" w:hanging="440"/>
      </w:pPr>
    </w:lvl>
    <w:lvl w:ilvl="3" w:tplc="0409000F">
      <w:start w:val="1"/>
      <w:numFmt w:val="decimal"/>
      <w:lvlText w:val="%4."/>
      <w:lvlJc w:val="left"/>
      <w:pPr>
        <w:ind w:left="1985" w:hanging="440"/>
      </w:pPr>
    </w:lvl>
    <w:lvl w:ilvl="4" w:tplc="04090017">
      <w:start w:val="1"/>
      <w:numFmt w:val="aiueoFullWidth"/>
      <w:lvlText w:val="(%5)"/>
      <w:lvlJc w:val="left"/>
      <w:pPr>
        <w:ind w:left="2425" w:hanging="440"/>
      </w:pPr>
    </w:lvl>
    <w:lvl w:ilvl="5" w:tplc="04090011">
      <w:start w:val="1"/>
      <w:numFmt w:val="decimalEnclosedCircle"/>
      <w:lvlText w:val="%6"/>
      <w:lvlJc w:val="left"/>
      <w:pPr>
        <w:ind w:left="2865" w:hanging="440"/>
      </w:pPr>
    </w:lvl>
    <w:lvl w:ilvl="6" w:tplc="0409000F">
      <w:start w:val="1"/>
      <w:numFmt w:val="decimal"/>
      <w:lvlText w:val="%7."/>
      <w:lvlJc w:val="left"/>
      <w:pPr>
        <w:ind w:left="3305" w:hanging="440"/>
      </w:pPr>
    </w:lvl>
    <w:lvl w:ilvl="7" w:tplc="04090017">
      <w:start w:val="1"/>
      <w:numFmt w:val="aiueoFullWidth"/>
      <w:lvlText w:val="(%8)"/>
      <w:lvlJc w:val="left"/>
      <w:pPr>
        <w:ind w:left="3745" w:hanging="440"/>
      </w:pPr>
    </w:lvl>
    <w:lvl w:ilvl="8" w:tplc="04090011">
      <w:start w:val="1"/>
      <w:numFmt w:val="decimalEnclosedCircle"/>
      <w:lvlText w:val="%9"/>
      <w:lvlJc w:val="left"/>
      <w:pPr>
        <w:ind w:left="4185" w:hanging="440"/>
      </w:pPr>
    </w:lvl>
  </w:abstractNum>
  <w:abstractNum w:abstractNumId="4" w15:restartNumberingAfterBreak="0">
    <w:nsid w:val="00000005"/>
    <w:multiLevelType w:val="hybridMultilevel"/>
    <w:tmpl w:val="255A43AA"/>
    <w:lvl w:ilvl="0" w:tplc="AAE4981E">
      <w:start w:val="1"/>
      <w:numFmt w:val="decimalFullWidth"/>
      <w:lvlText w:val="（%1）"/>
      <w:lvlJc w:val="left"/>
      <w:pPr>
        <w:ind w:left="540" w:hanging="390"/>
      </w:pPr>
      <w:rPr>
        <w:rFonts w:hint="default"/>
      </w:rPr>
    </w:lvl>
    <w:lvl w:ilvl="1" w:tplc="04090017">
      <w:start w:val="1"/>
      <w:numFmt w:val="aiueoFullWidth"/>
      <w:lvlText w:val="(%2)"/>
      <w:lvlJc w:val="left"/>
      <w:pPr>
        <w:ind w:left="1030" w:hanging="440"/>
      </w:pPr>
    </w:lvl>
    <w:lvl w:ilvl="2" w:tplc="04090011">
      <w:start w:val="1"/>
      <w:numFmt w:val="decimalEnclosedCircle"/>
      <w:lvlText w:val="%3"/>
      <w:lvlJc w:val="left"/>
      <w:pPr>
        <w:ind w:left="1470" w:hanging="440"/>
      </w:pPr>
    </w:lvl>
    <w:lvl w:ilvl="3" w:tplc="0409000F">
      <w:start w:val="1"/>
      <w:numFmt w:val="decimal"/>
      <w:lvlText w:val="%4."/>
      <w:lvlJc w:val="left"/>
      <w:pPr>
        <w:ind w:left="1910" w:hanging="440"/>
      </w:pPr>
    </w:lvl>
    <w:lvl w:ilvl="4" w:tplc="04090017">
      <w:start w:val="1"/>
      <w:numFmt w:val="aiueoFullWidth"/>
      <w:lvlText w:val="(%5)"/>
      <w:lvlJc w:val="left"/>
      <w:pPr>
        <w:ind w:left="2350" w:hanging="440"/>
      </w:pPr>
    </w:lvl>
    <w:lvl w:ilvl="5" w:tplc="04090011">
      <w:start w:val="1"/>
      <w:numFmt w:val="decimalEnclosedCircle"/>
      <w:lvlText w:val="%6"/>
      <w:lvlJc w:val="left"/>
      <w:pPr>
        <w:ind w:left="2790" w:hanging="440"/>
      </w:pPr>
    </w:lvl>
    <w:lvl w:ilvl="6" w:tplc="0409000F">
      <w:start w:val="1"/>
      <w:numFmt w:val="decimal"/>
      <w:lvlText w:val="%7."/>
      <w:lvlJc w:val="left"/>
      <w:pPr>
        <w:ind w:left="3230" w:hanging="440"/>
      </w:pPr>
    </w:lvl>
    <w:lvl w:ilvl="7" w:tplc="04090017">
      <w:start w:val="1"/>
      <w:numFmt w:val="aiueoFullWidth"/>
      <w:lvlText w:val="(%8)"/>
      <w:lvlJc w:val="left"/>
      <w:pPr>
        <w:ind w:left="3670" w:hanging="440"/>
      </w:pPr>
    </w:lvl>
    <w:lvl w:ilvl="8" w:tplc="04090011">
      <w:start w:val="1"/>
      <w:numFmt w:val="decimalEnclosedCircle"/>
      <w:lvlText w:val="%9"/>
      <w:lvlJc w:val="left"/>
      <w:pPr>
        <w:ind w:left="4110" w:hanging="440"/>
      </w:pPr>
    </w:lvl>
  </w:abstractNum>
  <w:abstractNum w:abstractNumId="5" w15:restartNumberingAfterBreak="0">
    <w:nsid w:val="00000006"/>
    <w:multiLevelType w:val="hybridMultilevel"/>
    <w:tmpl w:val="86B09C8E"/>
    <w:lvl w:ilvl="0" w:tplc="6D1EA092">
      <w:start w:val="1"/>
      <w:numFmt w:val="decimalEnclosedCircle"/>
      <w:lvlText w:val="%1"/>
      <w:lvlJc w:val="left"/>
      <w:pPr>
        <w:ind w:left="510" w:hanging="360"/>
      </w:pPr>
      <w:rPr>
        <w:rFonts w:hint="default"/>
      </w:rPr>
    </w:lvl>
    <w:lvl w:ilvl="1" w:tplc="04090017">
      <w:start w:val="1"/>
      <w:numFmt w:val="aiueoFullWidth"/>
      <w:lvlText w:val="(%2)"/>
      <w:lvlJc w:val="left"/>
      <w:pPr>
        <w:ind w:left="1030" w:hanging="440"/>
      </w:pPr>
    </w:lvl>
    <w:lvl w:ilvl="2" w:tplc="04090011">
      <w:start w:val="1"/>
      <w:numFmt w:val="decimalEnclosedCircle"/>
      <w:lvlText w:val="%3"/>
      <w:lvlJc w:val="left"/>
      <w:pPr>
        <w:ind w:left="1470" w:hanging="440"/>
      </w:pPr>
    </w:lvl>
    <w:lvl w:ilvl="3" w:tplc="0409000F">
      <w:start w:val="1"/>
      <w:numFmt w:val="decimal"/>
      <w:lvlText w:val="%4."/>
      <w:lvlJc w:val="left"/>
      <w:pPr>
        <w:ind w:left="1910" w:hanging="440"/>
      </w:pPr>
    </w:lvl>
    <w:lvl w:ilvl="4" w:tplc="04090017">
      <w:start w:val="1"/>
      <w:numFmt w:val="aiueoFullWidth"/>
      <w:lvlText w:val="(%5)"/>
      <w:lvlJc w:val="left"/>
      <w:pPr>
        <w:ind w:left="2350" w:hanging="440"/>
      </w:pPr>
    </w:lvl>
    <w:lvl w:ilvl="5" w:tplc="04090011">
      <w:start w:val="1"/>
      <w:numFmt w:val="decimalEnclosedCircle"/>
      <w:lvlText w:val="%6"/>
      <w:lvlJc w:val="left"/>
      <w:pPr>
        <w:ind w:left="2790" w:hanging="440"/>
      </w:pPr>
    </w:lvl>
    <w:lvl w:ilvl="6" w:tplc="0409000F">
      <w:start w:val="1"/>
      <w:numFmt w:val="decimal"/>
      <w:lvlText w:val="%7."/>
      <w:lvlJc w:val="left"/>
      <w:pPr>
        <w:ind w:left="3230" w:hanging="440"/>
      </w:pPr>
    </w:lvl>
    <w:lvl w:ilvl="7" w:tplc="04090017">
      <w:start w:val="1"/>
      <w:numFmt w:val="aiueoFullWidth"/>
      <w:lvlText w:val="(%8)"/>
      <w:lvlJc w:val="left"/>
      <w:pPr>
        <w:ind w:left="3670" w:hanging="440"/>
      </w:pPr>
    </w:lvl>
    <w:lvl w:ilvl="8" w:tplc="04090011">
      <w:start w:val="1"/>
      <w:numFmt w:val="decimalEnclosedCircle"/>
      <w:lvlText w:val="%9"/>
      <w:lvlJc w:val="left"/>
      <w:pPr>
        <w:ind w:left="4110" w:hanging="440"/>
      </w:pPr>
    </w:lvl>
  </w:abstractNum>
  <w:abstractNum w:abstractNumId="6" w15:restartNumberingAfterBreak="0">
    <w:nsid w:val="00000007"/>
    <w:multiLevelType w:val="hybridMultilevel"/>
    <w:tmpl w:val="7D9A0F04"/>
    <w:lvl w:ilvl="0" w:tplc="6F3CE756">
      <w:start w:val="1"/>
      <w:numFmt w:val="aiueoFullWidth"/>
      <w:lvlText w:val="%1."/>
      <w:lvlJc w:val="left"/>
      <w:pPr>
        <w:ind w:left="510" w:hanging="360"/>
      </w:pPr>
      <w:rPr>
        <w:rFonts w:hint="default"/>
      </w:rPr>
    </w:lvl>
    <w:lvl w:ilvl="1" w:tplc="04090017">
      <w:start w:val="1"/>
      <w:numFmt w:val="aiueoFullWidth"/>
      <w:lvlText w:val="(%2)"/>
      <w:lvlJc w:val="left"/>
      <w:pPr>
        <w:ind w:left="1030" w:hanging="440"/>
      </w:pPr>
    </w:lvl>
    <w:lvl w:ilvl="2" w:tplc="04090011">
      <w:start w:val="1"/>
      <w:numFmt w:val="decimalEnclosedCircle"/>
      <w:lvlText w:val="%3"/>
      <w:lvlJc w:val="left"/>
      <w:pPr>
        <w:ind w:left="1470" w:hanging="440"/>
      </w:pPr>
    </w:lvl>
    <w:lvl w:ilvl="3" w:tplc="0409000F">
      <w:start w:val="1"/>
      <w:numFmt w:val="decimal"/>
      <w:lvlText w:val="%4."/>
      <w:lvlJc w:val="left"/>
      <w:pPr>
        <w:ind w:left="1910" w:hanging="440"/>
      </w:pPr>
    </w:lvl>
    <w:lvl w:ilvl="4" w:tplc="04090017">
      <w:start w:val="1"/>
      <w:numFmt w:val="aiueoFullWidth"/>
      <w:lvlText w:val="(%5)"/>
      <w:lvlJc w:val="left"/>
      <w:pPr>
        <w:ind w:left="2350" w:hanging="440"/>
      </w:pPr>
    </w:lvl>
    <w:lvl w:ilvl="5" w:tplc="04090011">
      <w:start w:val="1"/>
      <w:numFmt w:val="decimalEnclosedCircle"/>
      <w:lvlText w:val="%6"/>
      <w:lvlJc w:val="left"/>
      <w:pPr>
        <w:ind w:left="2790" w:hanging="440"/>
      </w:pPr>
    </w:lvl>
    <w:lvl w:ilvl="6" w:tplc="0409000F">
      <w:start w:val="1"/>
      <w:numFmt w:val="decimal"/>
      <w:lvlText w:val="%7."/>
      <w:lvlJc w:val="left"/>
      <w:pPr>
        <w:ind w:left="3230" w:hanging="440"/>
      </w:pPr>
    </w:lvl>
    <w:lvl w:ilvl="7" w:tplc="04090017">
      <w:start w:val="1"/>
      <w:numFmt w:val="aiueoFullWidth"/>
      <w:lvlText w:val="(%8)"/>
      <w:lvlJc w:val="left"/>
      <w:pPr>
        <w:ind w:left="3670" w:hanging="440"/>
      </w:pPr>
    </w:lvl>
    <w:lvl w:ilvl="8" w:tplc="04090011">
      <w:start w:val="1"/>
      <w:numFmt w:val="decimalEnclosedCircle"/>
      <w:lvlText w:val="%9"/>
      <w:lvlJc w:val="left"/>
      <w:pPr>
        <w:ind w:left="4110" w:hanging="440"/>
      </w:pPr>
    </w:lvl>
  </w:abstractNum>
  <w:abstractNum w:abstractNumId="7" w15:restartNumberingAfterBreak="0">
    <w:nsid w:val="00000008"/>
    <w:multiLevelType w:val="hybridMultilevel"/>
    <w:tmpl w:val="F02A1860"/>
    <w:lvl w:ilvl="0" w:tplc="CA8E5B32">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8" w15:restartNumberingAfterBreak="0">
    <w:nsid w:val="00000009"/>
    <w:multiLevelType w:val="hybridMultilevel"/>
    <w:tmpl w:val="0F7A1C46"/>
    <w:lvl w:ilvl="0" w:tplc="B5203FB2">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782"/>
    <w:rsid w:val="00342521"/>
    <w:rsid w:val="003A4011"/>
    <w:rsid w:val="00584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C748778-56FB-49A6-9C4F-CB515669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paragraph" w:styleId="aa">
    <w:name w:val="No Spacing"/>
    <w:qFormat/>
    <w:pPr>
      <w:widowControl w:val="0"/>
      <w:jc w:val="both"/>
    </w:pPr>
  </w:style>
  <w:style w:type="paragraph" w:styleId="ab">
    <w:name w:val="Date"/>
    <w:basedOn w:val="a"/>
    <w:next w:val="a"/>
    <w:link w:val="ac"/>
  </w:style>
  <w:style w:type="character" w:customStyle="1" w:styleId="ac">
    <w:name w:val="日付 (文字)"/>
    <w:basedOn w:val="a0"/>
    <w:link w:val="ab"/>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1.emf"/><Relationship Id="rId16" Type="http://schemas.openxmlformats.org/officeDocument/2006/relationships/image" Target="media/image9.emf"/><Relationship Id="rId107" Type="http://schemas.openxmlformats.org/officeDocument/2006/relationships/image" Target="media/image98.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3.emf"/><Relationship Id="rId5" Type="http://schemas.openxmlformats.org/officeDocument/2006/relationships/footnotes" Target="footnote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80" Type="http://schemas.openxmlformats.org/officeDocument/2006/relationships/image" Target="media/image73.emf"/><Relationship Id="rId85" Type="http://schemas.openxmlformats.org/officeDocument/2006/relationships/image" Target="media/image78.png"/><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4.emf"/><Relationship Id="rId108" Type="http://schemas.openxmlformats.org/officeDocument/2006/relationships/footer" Target="footer2.xml"/><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7.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0.png"/><Relationship Id="rId94" Type="http://schemas.openxmlformats.org/officeDocument/2006/relationships/image" Target="media/image86.emf"/><Relationship Id="rId99" Type="http://schemas.openxmlformats.org/officeDocument/2006/relationships/image" Target="media/image90.emf"/><Relationship Id="rId101" Type="http://schemas.openxmlformats.org/officeDocument/2006/relationships/image" Target="media/image92.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fontTable" Target="fontTable.xml"/><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89.emf"/><Relationship Id="rId104" Type="http://schemas.openxmlformats.org/officeDocument/2006/relationships/image" Target="media/image95.emf"/><Relationship Id="rId7" Type="http://schemas.openxmlformats.org/officeDocument/2006/relationships/footer" Target="footer1.xml"/><Relationship Id="rId71" Type="http://schemas.openxmlformats.org/officeDocument/2006/relationships/image" Target="media/image64.emf"/><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79.emf"/><Relationship Id="rId110" Type="http://schemas.openxmlformats.org/officeDocument/2006/relationships/theme" Target="theme/theme1.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image" Target="media/image49.emf"/><Relationship Id="rId77" Type="http://schemas.openxmlformats.org/officeDocument/2006/relationships/image" Target="media/image70.png"/><Relationship Id="rId100" Type="http://schemas.openxmlformats.org/officeDocument/2006/relationships/image" Target="media/image91.emf"/><Relationship Id="rId105" Type="http://schemas.openxmlformats.org/officeDocument/2006/relationships/image" Target="media/image96.emf"/><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emf"/><Relationship Id="rId98" Type="http://schemas.openxmlformats.org/officeDocument/2006/relationships/package" Target="embeddings/Microsoft_Excel_______.xlsx"/><Relationship Id="rId3" Type="http://schemas.openxmlformats.org/officeDocument/2006/relationships/settings" Target="setting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5075</Words>
  <Characters>28928</Characters>
  <Application>Microsoft Office Word</Application>
  <DocSecurity>0</DocSecurity>
  <Lines>241</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宮城 和美</cp:lastModifiedBy>
  <cp:revision>3</cp:revision>
  <cp:lastPrinted>2024-05-14T00:26:00Z</cp:lastPrinted>
  <dcterms:created xsi:type="dcterms:W3CDTF">2024-05-21T04:09:00Z</dcterms:created>
  <dcterms:modified xsi:type="dcterms:W3CDTF">2024-05-21T04:09:00Z</dcterms:modified>
</cp:coreProperties>
</file>